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60.2014.16 vom 28. Januar 2014</w:t>
      </w:r>
    </w:p>
    <w:p>
      <w:r>
        <w:t>TI Tribunale d'appello, 2014-01-28, IT</w:t>
      </w:r>
    </w:p>
    <w:p>
      <w:r>
        <w:rPr>
          <w:b/>
        </w:rPr>
        <w:t xml:space="preserve">Quelle: </w:t>
      </w:r>
      <w:r>
        <w:t>https://mcp.opencaselaw.ch/entscheid/ti_gerichte_60.2014.16</w:t>
      </w:r>
    </w:p>
    <w:p>
      <w:r>
        <w:t>FR: TI_GERICHTE 60.2014.16 du 28 janvier 2014</w:t>
      </w:r>
    </w:p>
    <w:p>
      <w:r>
        <w:t>IT: TI_GERICHTE 60.2014.16 del 28 gennaio 2014</w:t>
      </w:r>
    </w:p>
    <w:p>
      <w:pPr>
        <w:pStyle w:val="Heading2"/>
      </w:pPr>
      <w:r>
        <w:t>Volltext</w:t>
      </w:r>
    </w:p>
    <w:p>
      <w:r>
        <w:t>Incarto n.60.2014.16</w:t>
      </w:r>
    </w:p>
    <w:p>
      <w:r>
        <w:t>Lugano</w:t>
      </w:r>
    </w:p>
    <w:p>
      <w:r>
        <w:t>28 gennaio 2014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Mauro Mini, presidente,</w:t>
      </w:r>
    </w:p>
    <w:p>
      <w:r>
        <w:t>cancelliera:</w:t>
      </w:r>
    </w:p>
    <w:p>
      <w:r>
        <w:t>Daniela Fossati, vicecancelliera</w:t>
      </w:r>
    </w:p>
    <w:p>
      <w:r>
        <w:t>sedente per statuire sullistanza7/15.01.2014 presentata dalla</w:t>
      </w:r>
    </w:p>
    <w:p>
      <w:r>
        <w:t>IS 1</w:t>
      </w:r>
    </w:p>
    <w:p>
      <w:r>
        <w:t>premesso che la richiesta datata 7.01.2014 è giunta al Ministero pubblico il medesimo giorno, che lha trasmessa, per competenza, a questa Corte il 14/15.01.2014, senza formulare osservazioni in merito;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Per questi motivi,</w:t>
      </w:r>
    </w:p>
    <w:p>
      <w:r>
        <w:t>visti gli art. 62 cpv. 4 LOG, 25 LTG ed ogni altra norma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