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60.2012.483 vom 14. Januar 2013</w:t>
      </w:r>
    </w:p>
    <w:p>
      <w:r>
        <w:t>TI Tribunale d'appello, 2013-01-14, IT</w:t>
      </w:r>
    </w:p>
    <w:p>
      <w:r>
        <w:rPr>
          <w:b/>
        </w:rPr>
        <w:t xml:space="preserve">Quelle: </w:t>
      </w:r>
      <w:r>
        <w:t>https://mcp.opencaselaw.ch/entscheid/ti_gerichte_60.2012.483</w:t>
      </w:r>
    </w:p>
    <w:p>
      <w:r>
        <w:t>FR: TI_GERICHTE 60.2012.483 du 14 janvier 2013</w:t>
      </w:r>
    </w:p>
    <w:p>
      <w:r>
        <w:t>IT: TI_GERICHTE 60.2012.483 del 14 gennaio 2013</w:t>
      </w:r>
    </w:p>
    <w:p>
      <w:pPr>
        <w:pStyle w:val="Heading2"/>
      </w:pPr>
      <w:r>
        <w:t>Regeste</w:t>
      </w:r>
    </w:p>
    <w:p>
      <w:r>
        <w:t>Istanza di ispezione degli atti. già accusatore privato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14.01.2013 60.2012.483</w:t>
      </w:r>
    </w:p>
    <w:p>
      <w:r>
        <w:t>Istanza di ispezione degli atti. già accusatore privato quale istante</w:t>
      </w:r>
    </w:p>
    <w:p>
      <w:r>
        <w:t>Incarto n. 60.2012.483 Lugano 14 gennaio 2013 /dr In nome della Repubblica e Cantone Ticino La Corte dei reclami penali del Tribunale d'appello composta dai giudici: Mauro Mini, presidente, Raffaele Guffi, Ivano Ranzanici cancelliera: Daniela Fossati, vicecancelliera sedente per statuire sull’istanza 18/20.12.2012 presentata dalla IS 1 rappr. da: tendente ad ottenere, in copia, il rapporto di polizia di cui all’incarto MP __________ sfociato nel DA __________ e nel DA __________ (passati in giudicato); premesso che la richiesta datata 18.12.2012 è giunta al Ministero pubblico il 19.12.2012, che – per il tramite del procuratore pubblico Nicola Corti – l’ha trasmessa, per competenza, a questa Corte il 20.12.2012, comunicando di non avere nulla da obiettare all’accoglimento dell’istanza; letti ed esaminati gli atti; considerato in fatto ed in diritto che a seguito dell’intervento da parte della polizia avvenuto il 27.08.2012 presso la IS 1, con sede a __________, su richiesta del socio e gerente __________, il Ministero pubblico ha aperto un procedimento penale (inc. MP __________) a carico di PI 3 e di PI 2 per titolo di contraffazione di merci ripetuta (art. 155 cifra 1 CP) sfociato nel DA __________ rispettivamente nel DA __________ emanati il 12.11.2012 dal procuratore pubblico Nicola Corti; che entrambi i decreti di accusa sono passati in giudicato il 17.12.2012; che con la presente istanza __________, come detto, socio e gerente con diritto di firma individuale della IS 1, chiede la trasmissione, in copia, dei rapporti di polizia allestiti in relazione ai DA __________ e DA __________; che, come esposto in entrata, il procuratore pubblico non si è opposto alla richiesta; che questa Corte non ha ritenuto necessario interpellare PI 2 e PI 3, essendo stata la IS 1 parte (in qualità di accusatrice privata) al procedimento penale nel frattempo archiviato; che l’art.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nel presente caso, pur essendo stata la IS 1 parte (in qualità di accusatrice privata) nel procedimento nel frattempo terminato, essa deve seguire la procedura prevista dall’art. 62 cpv. 4 LOG e dimostrare un interesse giuridico legittimo; che, come ricordano i lavori preparatori, l’art. 27 CPP TI si applicava pure alle richieste di ispezione degli atti presentate dalle parti, dopo che il procedimento era terminato (Messaggio CdS dell’11.03.1987, ad art. 8 p. 10); che inoltre in base ai successivi lavori preparatori, per le ex parti di un procedimento penale concluso, l’interesse giuridico legittimo era presunto (Rapporto della Commissione speciale dell’8.11.1994 p. 19); che lo stesso principio vale oggi per l’art. 62 cpv. 4 LOG; che nella fattispecie in esame – nonostante __________ abbia omesso di precisare i motivi della sua richiesta come esatto dall’art. 62 cpv. 4 LOG e dalla giurisprudenza di questa Corte – appare pacifico l’interesse giuridico legittimo della società istante giusta l’art. 62 cpv. 4 LOG ad ottenere la trasmissione, in copia, del rapporto d’inchiesta di polizia giudiziaria allestito nell’ambito del procedimento penale sfociato nei decreti di accusa 12.11.2012 (DA __________ e DA __________, passati in giudicato), poiché il medesimo l’ha interessata personalmente in veste di accusatrice privata, ciò che emerge chiaramente dalla lettura degli atti istruttori; che a ciò aggiungasi che il procuratore pubblico non si è opposto alla richiesta; che di conseguenza il rapporto richiesto viene trasmesso, in copia, alla IS 1 unitamente alla presente decisione; che si rinuncia al prelievo di tassa di giustizia e spese, essendo la IS 1, già stata parte al procedimento penale sfociato nel DA __________ e DA __________ entrambi passati in giudicato. Per questi motivi, visto l’art. 62 cpv. 4 LOG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