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60.2012.285 vom 17. Juli 2012</w:t>
      </w:r>
    </w:p>
    <w:p>
      <w:r>
        <w:t>TI Tribunale d'appello, 2012-07-17, IT</w:t>
      </w:r>
    </w:p>
    <w:p>
      <w:r>
        <w:rPr>
          <w:b/>
        </w:rPr>
        <w:t xml:space="preserve">Quelle: </w:t>
      </w:r>
      <w:r>
        <w:t>https://mcp.opencaselaw.ch/entscheid/ti_gerichte_60.2012.285</w:t>
      </w:r>
    </w:p>
    <w:p>
      <w:r>
        <w:t>FR: TI_GERICHTE 60.2012.285 du 17 juillet 2012</w:t>
      </w:r>
    </w:p>
    <w:p>
      <w:r>
        <w:t>IT: TI_GERICHTE 60.2012.285 del 17 luglio 2012</w:t>
      </w:r>
    </w:p>
    <w:p>
      <w:pPr>
        <w:pStyle w:val="Heading2"/>
      </w:pPr>
      <w:r>
        <w:t>Regeste</w:t>
      </w:r>
    </w:p>
    <w:p>
      <w:r>
        <w:t>Reclamo dell'imputato contro la decisione di confisca indipendente. ricevibilità</w:t>
      </w:r>
    </w:p>
    <w:p>
      <w:pPr>
        <w:pStyle w:val="Heading2"/>
      </w:pPr>
      <w:r>
        <w:t>Erwägungen</w:t>
      </w:r>
    </w:p>
    <w:p>
      <w:r>
        <w:rPr>
          <w:b/>
        </w:rPr>
        <w:t>E. 1</w:t>
      </w:r>
    </w:p>
    <w:p>
      <w:r>
        <w:t>.   1.1. 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w:t>
      </w:r>
    </w:p>
    <w:p>
      <w:r>
        <w:rPr>
          <w:b/>
        </w:rPr>
        <w:t>E. 1.2</w:t>
      </w:r>
    </w:p>
    <w:p>
      <w:r>
        <w:t>La procedura indipendente di confisca è prevista agli art. 376 ss. CPP. A’ sensi dell’art. 377 cpv. 4 CPP la procedura di opposizione è retta dalle disposizioni sul decreto di accusa; un’eventuale decisione del giudice è emanata in forma di decreto o di ordinanza. La decisione del giudice è impugnabile con reclamo giusta gli art. 393 ss. CPP (ZK StPO – C. SCHWARZENEGGER, art. 377 CPP n. 9; N. SCHMID, StPO Praxiskommentar, art. 377 CPP n. 11; Commentario CPP – P. BERNASCONI, art. 377 CPP n. 15).</w:t>
      </w:r>
    </w:p>
    <w:p>
      <w:r>
        <w:rPr>
          <w:b/>
        </w:rPr>
        <w:t>E. 1.3</w:t>
      </w:r>
    </w:p>
    <w:p>
      <w:r>
        <w:t>Nel presente caso, erroneamente, nella decisione 5.7.2012 il procuratore pubblico ha indicato, quale mezzo d’impugnazione, il reclamo ai sensi dell’art. 393 CPP e non l’opposizione. Per questi motivi, il reclamo è irricevibile. Gli atti sono ritornati al procuratore pubblico, giusta l’art. 355 CPP, in quanto lo scritto 10/11.7.2012 va considerato quale opposizione.</w:t>
      </w:r>
    </w:p>
    <w:p>
      <w:r>
        <w:rPr>
          <w:b/>
        </w:rPr>
        <w:t>E. 2</w:t>
      </w:r>
    </w:p>
    <w:p>
      <w:r>
        <w:t>.   2.1. A titolo abbondanziale, si osserva che, giusta l’art. 376 CPP, si svolge una procedura indipendente di confisca quando occorre decidere sulla confisca di oggetti o di valori patrimoniali al di fuori di un procedimento penale. Questa procedura è applicabile soltanto a titolo sussidiario (BSK StPO – F. BAUMANN, art. 376 CPP n. 4), ovvero quando non può essere pronunciata una decisione di confisca nell’ambito della decisione finale che conclude il procedimento penale (N. SCHMID, StPO Praxiskommentar, art. 376 CPP n. 2). La procedura indipendente di confisca non è di conseguenza applicabile nel caso in cui un procedimento penale si concluda con un decreto di non luogo a procedere (art. 310 CPP) o con un decreto di abbandono (art. 319 ss. CPP), posto come giusta l’art. 320 cpv. 2 seconda frase CPP nel contesto di tali decreti debba essere disposta la confisca di oggetti e di valori patrimoniali. La decisione di confisca è obbligatoria se sono adempiuti i suoi presupposti (N. SCHMID, StPO Praxiskommentar, art. 320 CPP n. 4; Commentario CPP – J. NOSEDA, art. 320 CPP n. 2; BSK StPO – R. GRÄDEL / M. HEINIGER, art. 320 CPP n. 11; ZK StPO – N. LANDSHUT, art. 320 CPP n. 6). Non si deve perciò ricorrere alla procedura indipendente di confisca quando, per esempio, un procedimento penale è terminato con un decreto di non luogo a procedere o di abbandono perché l’autore è deceduto o è rimasto ignoto o perché, pur noto, non ha potuto essere trovato (N. SCHMID, StPO Praxiskommentar, art. 376 CPP n. 2; Commentario CPP – P. BERNASCONI, art. 376 CPP n. 5). Fa eccezione al principio della sussidiarietà della procedura indipendente di confisca il caso in cui, malgrado sia pendente un procedimento, sia necessario un intervento immediato per la natura dell’oggetto da confiscare, per esempio in presenza di beni deperibili (N. SCHMID, StPO Praxiskommentar, art. 376 CPP n. 3; Commentario CPP – P. BERNASCONI, art. 376 CPP n. 6).</w:t>
      </w:r>
    </w:p>
    <w:p>
      <w:r>
        <w:rPr>
          <w:b/>
        </w:rPr>
        <w:t>E. 2.2</w:t>
      </w:r>
    </w:p>
    <w:p>
      <w:r>
        <w:t>Come ricordato dalla dottrina (Commentario CPP – E. MELI, art. 267 CPP n. 1) “La misura cautelare del sequestro deve trovare soluzione quando l’autorità statuisce l’abbandono del procedimento o con la sentenza di merito (Messaggio 1150). In assenza di chiaro pronunciamento, nella decisione che pone fine al procedimento, il sequestro deve essere considerato decaduto (automaticamente) al momento della crescita in giudicato della decisione relativa .” Di conseguenza, non essendo stata disposta con il decreto di non luogo a procedere, la confisca (e la conseguente distruzione) non è successivamente possibile. C’è poi da chiedersi se gli oggetti in questione sono stati sequestrati dal procuratore pubblico, posto come, dal tenore della decisione 5.7.2012, sembrerebbe che essi siano stati sequestrati dalla polizia cantonale (ciò che presupponeva l’adempimento dei presupposti giusta l’art. 263 cpv. 3 CPP).</w:t>
      </w:r>
    </w:p>
    <w:p>
      <w:r>
        <w:rPr>
          <w:b/>
        </w:rPr>
        <w:t>E. 3</w:t>
      </w:r>
    </w:p>
    <w:p>
      <w:r>
        <w:t>.   Il reclamo è irricevibile. Data la particolarità del caso, non si prelevano tassa di giustizia e spese. Per questi motivi, richiamati gli art. 267, 355, 376 ss. CPP ed ogni altra disposizione applicabile, pronuncia 1. Il reclamo è irricevibile. Di conseguenza gli atti sono trasmessi al procuratore pubblico Andrea Pagani, ai sensi dell’art. 355 CPP.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