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60.2011.382 vom 7. März 2012</w:t>
      </w:r>
    </w:p>
    <w:p>
      <w:r>
        <w:t>TI Tribunale d'appello, 2012-03-07, IT</w:t>
      </w:r>
    </w:p>
    <w:p>
      <w:r>
        <w:rPr>
          <w:b/>
        </w:rPr>
        <w:t xml:space="preserve">Quelle: </w:t>
      </w:r>
      <w:r>
        <w:t>https://mcp.opencaselaw.ch/entscheid/ti_gerichte_60.2011.382</w:t>
      </w:r>
    </w:p>
    <w:p>
      <w:r>
        <w:t>FR: TI_GERICHTE 60.2011.382 du 7 mars 2012</w:t>
      </w:r>
    </w:p>
    <w:p>
      <w:r>
        <w:t>IT: TI_GERICHTE 60.2011.382 del 7 marzo 2012</w:t>
      </w:r>
    </w:p>
    <w:p>
      <w:pPr>
        <w:pStyle w:val="Heading2"/>
      </w:pPr>
      <w:r>
        <w:t>Regeste</w:t>
      </w:r>
    </w:p>
    <w:p>
      <w:r>
        <w:t>Reclamo contro il decreto di non luogo a procedere. appropriazione indebita. furto. truffa. danneggiamento. ricevibilità</w:t>
      </w:r>
    </w:p>
    <w:p>
      <w:pPr>
        <w:pStyle w:val="Heading2"/>
      </w:pPr>
      <w:r>
        <w:t>Erwägungen</w:t>
      </w:r>
    </w:p>
    <w:p>
      <w:r>
        <w:rPr>
          <w:b/>
        </w:rPr>
        <w:t>E. 1.1</w:t>
      </w:r>
    </w:p>
    <w:p>
      <w:r>
        <w:t>Giusta i combinati art. 310 cpv. 2 e 322 cpv. 2 CPP le parti possono impugnare, entro dieci giorni (art. 396 cpv. 1 CPP),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24/29.11.2011 alla Corte dei reclami penali, competente ex art. 62 cpv. 2 LOG, contro il decreto di non luogo a procedere 21.11.2011 (NLP __________), è tempestivo . RE 1, quale accusatrice privata, è pacificamente legittimata a reclamare ex art. 382 cpv. 1 CPP avendo un interesse giuridicamente protetto all’annullamento o alla modifica del giudizio . Le esigenze di forma sono rispettate , mentre che quelle di motivazione no.</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Il gravame in discussione non rispetta i requisiti di cui al precedente considerando: RE 1 si limita infatti a contestare la decisione dell’allora magistrato inquirente, senza aggiungere nulla di rilevante per corroborare le sue accuse. In effetti, espone una sua parziale interpretazione dei fatti, circostanza che nondimeno non fonda sufficienti indizi di reato. La reclamante non solo non si confronta (compiutamente) con i presupposti oggettivi e soggettivi dei reati esaminati dal magistrato inquirente, ma neppure li indica nel suo gravame. RE 1 nemmeno specifica elementi indizianti oggettivi e concreti, tali da configurare sufficienti indizi di reato a carico del querelato/denunciato. La circostanza che secondo l’art. 391 CPP questa Corte esamini liberamente il fatto e il diritto non dispensa la reclamante dal suo obbligo di precisamente indicare i fatti che ritiene di rilevanza penale e, cumulativamente, di procedere alla loro sussunzione ai presupposti dei reati ipotizzati. Questa Corte – in quanto autorità di reclamo giusta l’art. 393 CPP – deve limitarsi a verificare se la sussunzione dei fatti al diritto effettuata dalla reclamante è corretta; non può al contrario sostituirsi a quest’ultima in tale compito. In queste circostanze, il reclamo è irricevibile.</w:t>
      </w:r>
    </w:p>
    <w:p>
      <w:r>
        <w:rPr>
          <w:b/>
        </w:rPr>
        <w:t>E. 4</w:t>
      </w:r>
    </w:p>
    <w:p>
      <w:r>
        <w:t>L’impugnativa, a prescindere dalla sua irricevibilità, è da respingere anche nel merito. La reclamante ipotizza a carico di PI 1 i reati di appropriazione indebita giusta l’art. 138 cifra 1 cpv. 1 CP [secondo cui è punito chiunque, per procacciare a sé o ad altri un indebito profitto, si appropria di una cosa mobile altrui che gli è stata affidata o indebitamente impiega a profitto proprio o di un terzo valori patrimoniali affidatigli (BSK Strafrecht II – M. A. NIGGLI / C. RIEDO, 2a ed., art. 138 CP n. 7 ss.)], furto giusta l’art. 139 cifra 1 CP [secondo cui è punito chiunque, per procacciare a sé o ad altri un indebito profitto, sottrae al fine di appropriarsene una cosa mobile altrui ( BSK Strafrecht II – M. A. NIGGLI / C. RIEDO, op. cit., art. 139 CP n. 7 ss.)], truffa giusta l’art. 146 cpv. 1 CP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G. ARZT, op. cit., art. 146 CP n. 10 ss.)] e danneggiamento giusta l’art. 144 cpv. 1 CP [secondo cui è punito chiunque deteriora, distrugge o rende inservibile una cosa altrui o su cui grava un diritto d’uso o d’usufrutto a favore di altri (BSK Strafrecht II – P. WEISSENBERGER, op. cit., art. 144 CP n. 3 ss.)].</w:t>
      </w:r>
    </w:p>
    <w:p>
      <w:r>
        <w:rPr>
          <w:b/>
        </w:rPr>
        <w:t>E. 5.1</w:t>
      </w:r>
    </w:p>
    <w:p>
      <w:r>
        <w:t>Per quanto attiene gli asseriti danni economici subìti dalla reclamante in relazione alle disdette date al contratto di affitto ed al contratto di lavoro, nonché all’eliminazione del proprio mobilio e di apparecchiature di vario genere, questa Corte ritiene che dagli atti nulla emerge che possa realizzare gli elementi costitutivi di uno dei reati surriferiti. Per stessa ammissione della reclamante infatti, PI 1 l’avrebbe solo aiutata in tali operazioni, ed avrebbero deciso insieme i passi da intraprendere al fine del suo trasferimento (cfr. querela/denuncia 14/17.10.2011, p. 2, AI 1). Appare quindi che la reclamante fosse ben cosciente delle operazioni da mettere in atto in vista del suo trasferimento, e che abbia proceduto ai vari passi in modo volontario. In nessun modo inoltre la reclamante sostiene o comprova di essere stata vittima di un inganno astuto.</w:t>
      </w:r>
    </w:p>
    <w:p>
      <w:r>
        <w:rPr>
          <w:b/>
        </w:rPr>
        <w:t>E. 5.2</w:t>
      </w:r>
    </w:p>
    <w:p>
      <w:r>
        <w:t>A medesima conclusione si deve giungere per quanto attiene al reato di danneggiamento. La reclamante non sostanzia in alcun modo quali sarebbero gli asseriti danni provocati al suo appartamento e neppure sostiene che detti danni sarebbero stati provocati proprio da PI 1. Anche a voler seguire la tesi di RE 1, non ci sono elementi per sostenere che il querelato/denunciato avrebbe causato gli asseriti danni in modo volontario, ritenuto che lo stesso ha contribuito ad aiutare la reclamante nel trasloco/sgombero del suo mobilio e quindi, semmai, i danni sarebbero stati causati congiuntamente in maniera del tutto involontaria, ciò che non adempie l’elemento soggettivo del reato di cui all’art. 144 CPS (B. CORBOZ, Les infractions en droit suisse, Volume I, 2. ed., art. 144 CP n. 23).</w:t>
      </w:r>
    </w:p>
    <w:p>
      <w:r>
        <w:rPr>
          <w:b/>
        </w:rPr>
        <w:t>E. 5.3</w:t>
      </w:r>
    </w:p>
    <w:p>
      <w:r>
        <w:t>Anche per quanto riguarda gli effetti personali di valore nonché i vestiti di proprietà della reclamante che PI 1, con il suo accordo, avrebbe portato presso il suo domicilio a __________, il decreto di non luogo a procedere è meritevole di tutela. Infatti, è proprio RE 1, che in sede di querela/denuncia afferma che avrebbe dovuto recarsi “ personalmente a __________ a ritirare le (...) cose ” (querela/denuncia 14/17.10.2011, p. 2, AI 1). Tale affermazione lascia intendere, a non avere dubbi, che i beni erano a sua completa disposizione e che la stessa doveva semplicemente recarsi a __________ per rientrarne in possesso. Unicamente in questa sede la reclamante avanza il fatto che PI 1 avrebbe rifiutato la riconsegna dei suddetti effetti personali. Tuttavia la stessa non suffraga in alcun modo tale asserzione, se non facendo riferimento ad un’istanza presentata alla Pretura di __________ in data 17.10.2011, ciò che è ben lungi dal dimostrare la presenza di sufficienti indizi di reato a carico di PI 1. Come risulta peraltro dai passi intrapresi presso la Pretura, la questione riveste invero un carattere di natura civile e va, di conseguenza, risolta nelle opportune sedi.</w:t>
      </w:r>
    </w:p>
    <w:p>
      <w:r>
        <w:rPr>
          <w:b/>
        </w:rPr>
        <w:t>E. 6</w:t>
      </w:r>
    </w:p>
    <w:p>
      <w:r>
        <w:t>Il gravame è irricevibile. Tassa di giustizia e spese sono poste a carico dell’insorgente, soccombente. Non si assegnano ripetibili, non avendo PI 1 fatto capo ai servizi di un legale. Per questi motivi, richiamati gli art. 138, 139, 146, 144 CP, 309 - 310, 322, 385 e 393 ss. CPP, 1 ss. e 25 LTG ed ogni altra disposizione applicabile, pronuncia 1.   Il reclamo è irricevibile. 2.   La tassa di giustizia di CHF 350.-- e le spese di CHF 50.--, per complessivi CHF 400.-- (quattrocento),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