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60.2011.126 vom 19. Mai 2011</w:t>
      </w:r>
    </w:p>
    <w:p>
      <w:r>
        <w:t>TI Tribunale d'appello, 2011-05-19, IT</w:t>
      </w:r>
    </w:p>
    <w:p>
      <w:r>
        <w:rPr>
          <w:b/>
        </w:rPr>
        <w:t xml:space="preserve">Quelle: </w:t>
      </w:r>
      <w:r>
        <w:t>https://mcp.opencaselaw.ch/entscheid/ti_gerichte_60.2011.126</w:t>
      </w:r>
    </w:p>
    <w:p>
      <w:r>
        <w:t>FR: TI_GERICHTE 60.2011.126 du 19 mai 2011</w:t>
      </w:r>
    </w:p>
    <w:p>
      <w:r>
        <w:t>IT: TI_GERICHTE 60.2011.126 del 19 maggio 2011</w:t>
      </w:r>
    </w:p>
    <w:p>
      <w:pPr>
        <w:pStyle w:val="Heading2"/>
      </w:pPr>
      <w:r>
        <w:t>Regeste</w:t>
      </w:r>
    </w:p>
    <w:p>
      <w:r>
        <w:t>Istanza di ispezione degli atti. Commissione tutoria regionale quale istante</w:t>
      </w:r>
    </w:p>
    <w:p>
      <w:pPr>
        <w:pStyle w:val="Heading2"/>
      </w:pPr>
      <w:r>
        <w:t>Volltext</w:t>
      </w:r>
    </w:p>
    <w:p>
      <w:r>
        <w:t>Ticino Tribunale di appello diritto penale La Corte dei reclami penali 19.05.2011 60.2011.126</w:t>
      </w:r>
    </w:p>
    <w:p>
      <w:r>
        <w:t>Istanza di ispezione degli atti. Commissione tutoria regionale quale istante</w:t>
      </w:r>
    </w:p>
    <w:p>
      <w:r>
        <w:t>Incarto n. 60.2011.126 Lugano 19 maggio 2011 /dp In nome della Repubblica e Cantone Ticino La Corte dei reclami penali del Tribunale d'appello composta dai giudici: Mauro Mini, presidente, Raffaele Guffi, Ivano Ranzanici cancelliera: Daniela Fossati, vicecancelliera sedente per statuire sull’istanza 14/18.4.2011 presentata dalla IS 1 tendente ad ottenere, nell’ambito delle misure di protezione della minorenne __________, la trasmissione di eventuali incarti pendenti o conclusi riguardanti suo padre; letti ed esaminati gli atti; considerato in fatto ed in diritto 1. Con scritto 14/18.4.2011 – a valere quale istanza ex art. 62 cpv. 4 LOG – la IS 1 (di seguito IS 1) ha informato questa Corte di occuparsi della situazione di __________ (__________), postulando, nell’ambito delle misure di protezione della minorenne, la trasmissione di eventuali incarti penali (pendenti o già conclusi) inerenti a suo padre PI 3 (__________). Da informazioni assunte da questa Corte risultano diversi procedimenti penali conclusi a carico di PI 3 (inc. MP __________, inc. MP __________, inc. MP __________, inc. MP __________ e inc. MP __________). 2. L’art. 62 cpv. 4 della Legge sull’organizzazione giudiziaria (LOG), in vigore dall’1.1.2011, che ha ripreso il previgente art. 27 vCPP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3. 3.1. Nella fattispecie in esame sono, di principio, realizzati i presupposti di legge, stante il chiaro e legittimo interesse della IS 1 istante, che con l'adozione della Legge sull'organizzazione e la procedura in materia di tutele e curatele (LTut) dell'8.3.1999, entrata in vigore l'1.1.2001, ha assunto le competenze in materia di tutela e curatela precedentemente spettanti alle Delegazioni tutorie comunali. Trattasi, infatti, dell'autorità competente, giusta gli art. 275, 312 e 315 CC e 2 LTut, ad adottare provvedimenti a tutela dei figli, segnatamente in materia di autorità e di custodia parentale, e a regolare le loro relazioni personali con i genitori. 3.2. L’interesse giuridico legittimo dell’autorità istante prevale, di principio, anche sugli interessi della parte coinvolta (in casu PI 3, il padre della minorenne __________): in effetti, da un lato occorre tutelare gli interessi della minorenne, e d’altro canto è necessario mettere a disposizione della __________ istante dati e informazioni utili e pertinenti per valutare al meglio la situazione della bambina e il rapporto con suo padre. 4. L’istanza è accolta limitatamente all’incarto penale MP __________ sfociato nel decreto di accusa 23.11.2009 (DA __________) a carico di PI 3, cresciuto in giudicato il 7.1.2010. Gli altri procedimenti penali (inc. MP __________, inc. MP __________, inc. MP __________ e inc. MP __________) riguardanti il padre della minorenne, stante la natura dei reati, non appaiono utili ai fini del giudizio della IS 1, non avendo alcuna pertinenza con la richiesta. Un rappresentante della IS 1 istante potrà quindi esaminare presso il Ministero pubblico l’incarto penale MP __________ sfociato nel decreto di accusa 23.11.2009 (DA __________), cresciuto in giudicato il 7.1.2010, concordando i tempi di accesso con il procuratore pubblico Antonio Perugini compatibilmente con i suoi impegni. Il rappresentante è, se del caso, autorizzato a fotocopiare i documenti strettamente necessari ai fini delle sue incombenze. 5. L’istanza è accolta ai sensi del precedente considerando. Considerata la natura della richiesta e dell’istante, si prescinde dalla tassa di giustizia e dalle spese. Per questi motivi, visti l’art. 62 cpv. 4 LOG e ogni altra disposizione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