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60.2010.386 vom 6. Dezember 2010</w:t>
      </w:r>
    </w:p>
    <w:p>
      <w:r>
        <w:t>TI Tribunale d'appello, 2010-12-06, IT</w:t>
      </w:r>
    </w:p>
    <w:p>
      <w:r>
        <w:rPr>
          <w:b/>
        </w:rPr>
        <w:t xml:space="preserve">Quelle: </w:t>
      </w:r>
      <w:r>
        <w:t>https://mcp.opencaselaw.ch/entscheid/ti_gerichte_60.2010.386</w:t>
      </w:r>
    </w:p>
    <w:p>
      <w:r>
        <w:t>FR: TI_GERICHTE 60.2010.386 du 6 décembre 2010</w:t>
      </w:r>
    </w:p>
    <w:p>
      <w:r>
        <w:t>IT: TI_GERICHTE 60.2010.386 del 6 dicembre 2010</w:t>
      </w:r>
    </w:p>
    <w:p>
      <w:pPr>
        <w:pStyle w:val="Heading2"/>
      </w:pPr>
      <w:r>
        <w:t>Regeste</w:t>
      </w:r>
    </w:p>
    <w:p>
      <w:r>
        <w:t>Ricorso contro la conferma dell'arresto. seri indizi di colpevolezza. pericolo di recidiva. pericolo di collusione. inquinamento delle prove. principio della proporzionalità</w:t>
      </w:r>
    </w:p>
    <w:p>
      <w:pPr>
        <w:pStyle w:val="Heading2"/>
      </w:pPr>
      <w:r>
        <w:t>Erwägungen</w:t>
      </w:r>
    </w:p>
    <w:p>
      <w:r>
        <w:rPr>
          <w:b/>
        </w:rPr>
        <w:t>E. 1</w:t>
      </w:r>
    </w:p>
    <w:p>
      <w:r>
        <w:t>.   La Camera dei ricorsi penali è autorità di ricorso contro le decisioni di conferma dell’arresto da parte del giudice dell’istruzione e dell’arresto (art. 100 cpv. 2, 101 e 284 cpv. 1 lit. a CPP). Il gravame, interposto il 21/22.11.2010 contro la decisione di conferma del 14.11.2010 del giudice dell’istruzione e dell’arresto, è tempestivo.</w:t>
      </w:r>
    </w:p>
    <w:p>
      <w:r>
        <w:rPr>
          <w:b/>
        </w:rPr>
        <w:t>E. 2</w:t>
      </w:r>
    </w:p>
    <w:p>
      <w:r>
        <w:t>.   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G. PIQUEREZ, Traité de procédure pénale suisse, 2. ed., Ginevra/Zurigo/Basilea 2006, n. 844 ss.; R. HAUSER / E. SCHWERI / K. HARTMANN, Schweizerisches Strafprozessrecht, 6. ed., Basilea 2005, § 68 n. 8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3</w:t>
      </w:r>
    </w:p>
    <w:p>
      <w:r>
        <w:t>.   Va ancora ed in particolare ribadito che, per quanto riguarda l’esistenza di gravi indizi di colpevolezza, non spetta alla CRP esprimersi in termini definitivi, trattandosi di questione che rientra nella competenza del giudice di merito. Ciò significa che la CRP deve sì effettuare un esame, ma non deve trattarsi di un’analisi troppo approfondita e tale da pregiudicare le future valutazioni del giudice di merito.</w:t>
      </w:r>
    </w:p>
    <w:p>
      <w:r>
        <w:rPr>
          <w:b/>
        </w:rPr>
        <w:t>E. 4</w:t>
      </w:r>
    </w:p>
    <w:p>
      <w:r>
        <w:t>.   4.1. Nel presente caso, il ricorrente contesta l’esistenza di seri e gravi indizi a suo carico. Egli fornisce una versione dei fatti diametralmente opposta da quella della vittima, da quelle delle altre persone presenti nell’appartamento in via __________ a __________ al momento dei fatti, e da quelle dei suoi amici (circa il racconto fatto loro dal ricorrente subito dopo i fatti).</w:t>
      </w:r>
    </w:p>
    <w:p>
      <w:r>
        <w:rPr>
          <w:b/>
        </w:rPr>
        <w:t>E. 4.2</w:t>
      </w:r>
    </w:p>
    <w:p>
      <w:r>
        <w:t>La sua versione non trova nessuna particolare conferma o riscontro in altre deposizioni. Diversamente, quella della vittima è confermata dalle altre persone presenti (anche con qualche incertezza o discordanza) e, in parte, anche dai racconti degli amici del ricorrente, su quanto quest’ultimo ha riferito loro.</w:t>
      </w:r>
    </w:p>
    <w:p>
      <w:r>
        <w:rPr>
          <w:b/>
        </w:rPr>
        <w:t>E. 4.3</w:t>
      </w:r>
    </w:p>
    <w:p>
      <w:r>
        <w:t>Dall’esame dei diversi verbali emergono a carico del ricorrente diversi gravi indizi di colpevolezza. È lui che si reca nell’appartamento di via __________, entrandovi mediante uno stratagemma. È lui che porta con sé un coltello a serramanico. È lui (nella sua versione) che s’introduce (munito di un coltello e con uno stratagemma) in un appartamento in via __________, di uno (a lui) sconosciuto, per recuperare “civilmente” un credito nei confronti di una non meglio identificata persona a cui avrebbe, per interposta persona, concesso un prestito già tempo addietro. È lui che, malgrado (sua versione) abbia subito una violenta aggressione, dice agli amici di non chiamare la polizia (verbale __________ del 16.11.2010, p. 3). È lui che, malgrado (sua versione) l’aggressione subita, dice di voler tornare nell’appartamento di via __________ (verbali __________ del 16.11.2010 p. 3; __________ del 16.11.2010, p. 3). È lui che agli amici racconta (verbali __________ del 16.11.2010, p. 4; __________ del 20.11.2010, p. 4), subito dopo i fatti, una versione dell’accaduto diversa da quella che poi fornirà alla polizia ed al magistrato, versione (allora fornita agli amici) che guarda caso in parte coincide con quella della vittima (verbale del 13.11.2010, p. 4) e delle altre persone presenti (verbali __________ del 13.11.2010, p. 2; __________ del 25.11.2010, p. 2).</w:t>
      </w:r>
    </w:p>
    <w:p>
      <w:r>
        <w:rPr>
          <w:b/>
        </w:rPr>
        <w:t>E. 4.4</w:t>
      </w:r>
    </w:p>
    <w:p>
      <w:r>
        <w:t>A questi elementi riconducibili al ricorrente, si devono aggiungere altri elementi oggettivamente risultanti dagli atti dell’incarto. È la vittima (protagonista dell’aggressione, secondo la versione del ricorrente) a chiamare immediatamente la polizia ed a metterla sulle tracce del ricorrente. La vittima e una delle persone presenti nell’appartamento, nelle versioni fornite alla polizia, riferiscono di avere malmenato il ricorrente, per loro difesa, senza tentare di minimizzare questo aspetto: senza che ciò li abbia fatti desistere dal chiamare la polizia. Ciò malgrado il contesto in cui si trovano ad operare, in particolare la vittima. La versione fornita dalla vittima corrisponde, nella sostanza, a quella delle altre persone presenti nell’appartamento di via __________. La versione della vittima coincide anche in parte (per la presa in ostaggio) con quella raccontata dal ricorrente agli amici, immediatamente dopo i fatti.</w:t>
      </w:r>
    </w:p>
    <w:p>
      <w:r>
        <w:rPr>
          <w:b/>
        </w:rPr>
        <w:t>E. 4.5</w:t>
      </w:r>
    </w:p>
    <w:p>
      <w:r>
        <w:t>In simile situazione, si deve ammettere che sono dati, sia al momento della decisione impugnata, sia attualmente, seri e gravi indizi di colpevolezza a carico del ricorrente.</w:t>
      </w:r>
    </w:p>
    <w:p>
      <w:r>
        <w:rPr>
          <w:b/>
        </w:rPr>
        <w:t>E. 5</w:t>
      </w:r>
    </w:p>
    <w:p>
      <w:r>
        <w:t>.   5.1. 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è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(decisioni TF 1P.750/2004 del 21.1.2005, 1P.198/2006 del 25.4.2006 cons. 4.1).</w:t>
      </w:r>
    </w:p>
    <w:p>
      <w:r>
        <w:rPr>
          <w:b/>
        </w:rPr>
        <w:t>E. 5.2</w:t>
      </w:r>
    </w:p>
    <w:p>
      <w:r>
        <w:t>Nel presente caso occorre considerare a carico del ricorrente i fatti del mese di febbraio 2010, alla __________ a __________, alla base della condanna emanata a suo carico il 25.5.2010. Nella versione del ricorrente, il fatto di andare a incassare dei crediti, munito di un coltello (giustificando simile modo di agire), appare già inquietante nell’ottica della recidiva. Le versioni della vittima e delle altre persone mostrano una similitudine del “ modus operandi ” tra l’episodio in via __________ e quello di __________. In quest’ottica occorre considerare che, né una condanna per reati gravi, né un periodo di detenzione preventiva, né il periodo di prova della sospensione condizionale della pena, hanno trattenuto il ricorrente dall’agire nel surriferito modo.</w:t>
      </w:r>
    </w:p>
    <w:p>
      <w:r>
        <w:rPr>
          <w:b/>
        </w:rPr>
        <w:t>E. 5.3</w:t>
      </w:r>
    </w:p>
    <w:p>
      <w:r>
        <w:t>In queste circostanze, è dato certamente un pericolo di recidiva, che andrà ulteriormente approfondito nell’istruttoria, ed in vista del dibattimento.</w:t>
      </w:r>
    </w:p>
    <w:p>
      <w:r>
        <w:rPr>
          <w:b/>
        </w:rPr>
        <w:t>E. 6</w:t>
      </w:r>
    </w:p>
    <w:p>
      <w:r>
        <w:t>.   6.1. I bisogni istruttori ed in particolare il pericolo di collusione sono dati quando è necessario evitare che l’accusato possa abusare della sua libertà per inquinare prove a suo carico o crearne illecitamente a suo scarico. I bisogni dell’istruzione sono particolarmente riscontrabili nelle prime fasi dell’inchiesta predibattimentale (M. RUSCA / E. SALMINA / C. VERDA, op. cit., n. 18 ad art. 95 CPP). Da un lato si tratta generalmente di evitare o prevenire accordi tra l'imputato e i testimoni - già sentiti o ancora da sentire - o i correi e i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 in maniera astratta (DTF 117 Ia 257; decisione TF 23.3.2000 in re A. e rif.; R. HAUSER / E. SCHWERI / K. HARTMANN, op. cit., § 68 n. 13; G. PIQUEREZ, op. cit., n. 848 s.).</w:t>
      </w:r>
    </w:p>
    <w:p>
      <w:r>
        <w:rPr>
          <w:b/>
        </w:rPr>
        <w:t>E. 6.2</w:t>
      </w:r>
    </w:p>
    <w:p>
      <w:r>
        <w:t>Nel presente caso, data la manifesta divergenza tra il racconto del ricorrente, per un verso, e quello della vittima, delle altre persone presenti in via __________ e degli amici del ricorrente, per altro verso, è data la necessità di effettuare, in tempi brevi, dei confronti avanti al magistrato inquirente, per ottenere un accertamento tempestivo e in contraddittorio il più approfondito possibile. In quest’ottica è dato anche un pericolo di collusione, in particolare con gli amici, ritenute le versioni fornite da questi ultimi sul racconto del ricorrente.</w:t>
      </w:r>
    </w:p>
    <w:p>
      <w:r>
        <w:rPr>
          <w:b/>
        </w:rPr>
        <w:t>E. 6.3</w:t>
      </w:r>
    </w:p>
    <w:p>
      <w:r>
        <w:t>Al contrario non assurge a bisogno istruttorio l’attesa degli accertamenti tecnici sul coltello e la ricerca di tracce biologiche, e ciò in quanto i medesimi sfuggono alla sfera di influenza del ricorrente.</w:t>
      </w:r>
    </w:p>
    <w:p>
      <w:r>
        <w:rPr>
          <w:b/>
        </w:rPr>
        <w:t>E. 6.4</w:t>
      </w:r>
    </w:p>
    <w:p>
      <w:r>
        <w:t>Per quanto indicato al punto 6.2., sono dati bisogni istruttori e un pericolo di collusione.</w:t>
      </w:r>
    </w:p>
    <w:p>
      <w:r>
        <w:rPr>
          <w:b/>
        </w:rPr>
        <w:t>E. 7</w:t>
      </w:r>
    </w:p>
    <w:p>
      <w:r>
        <w:t>.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w:t>
      </w:r>
    </w:p>
    <w:p>
      <w:r>
        <w:rPr>
          <w:b/>
        </w:rPr>
        <w:t>E. 8</w:t>
      </w:r>
    </w:p>
    <w:p>
      <w:r>
        <w:t>.   Nel presente caso, non emergono problemi nella duplice ottica della proporzionalità e della celerità, ritenuto come i fatti ipotizzati sono gravi e, se confermati, sarebbero intervenuti nel periodo di prova della sospensione condizionale della pena inflitta al ricorrente il 25.5.2010. Per la celerità, è indubbio che la polizia abbia condotto rapidamente gli accertamenti e gli interrogatori necessari: altrettanto si spera accadrà per quanto attiene ai prospettati confronti.</w:t>
      </w:r>
    </w:p>
    <w:p>
      <w:r>
        <w:rPr>
          <w:b/>
        </w:rPr>
        <w:t>E. 9</w:t>
      </w:r>
    </w:p>
    <w:p>
      <w:r>
        <w:t>.   Il ricorso è respinto. La tassa di giustizia e le spese sono caricate al ricorrente soccombente. Per questi motivi, viste le disposizioni citate e le altre norme applicabili, pronuncia 1.   Il ricorso è respinto. 2.   La tassa di giustizia di CHF 500.-- e le spese di CHF 50.--, per complessivi CHF 550.-- (cinquecentocinquanta),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