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60.2010.345 vom 10. Dezember 2010</w:t>
      </w:r>
    </w:p>
    <w:p>
      <w:r>
        <w:t>TI Tribunale d'appello, 2010-12-10, IT</w:t>
      </w:r>
    </w:p>
    <w:p>
      <w:r>
        <w:rPr>
          <w:b/>
        </w:rPr>
        <w:t xml:space="preserve">Quelle: </w:t>
      </w:r>
      <w:r>
        <w:t>https://mcp.opencaselaw.ch/entscheid/ti_gerichte_60.2010.345</w:t>
      </w:r>
    </w:p>
    <w:p>
      <w:r>
        <w:t>FR: TI_GERICHTE 60.2010.345 du 10 décembre 2010</w:t>
      </w:r>
    </w:p>
    <w:p>
      <w:r>
        <w:t>IT: TI_GERICHTE 60.2010.345 del 10 dicembre 2010</w:t>
      </w:r>
    </w:p>
    <w:p>
      <w:pPr>
        <w:pStyle w:val="Heading2"/>
      </w:pPr>
      <w:r>
        <w:t>Regeste</w:t>
      </w:r>
    </w:p>
    <w:p>
      <w:r>
        <w:t>Istanza di indennità per ingiusto procedimento. Spese legali. Torto morale</w:t>
      </w:r>
    </w:p>
    <w:p>
      <w:pPr>
        <w:pStyle w:val="Heading2"/>
      </w:pPr>
      <w:r>
        <w:t>Volltext</w:t>
      </w:r>
    </w:p>
    <w:p>
      <w:r>
        <w:t>Tessin Camera dei ricorsi penali 10.12.2010 60.2010.345 Tessin Camera dei ricorsi penali 10.12.2010 60.2010.345 Ticino Camera dei ricorsi penali 10.12.2010 60.2010.345</w:t>
      </w:r>
    </w:p>
    <w:p>
      <w:r>
        <w:t>Istanza di indennità per ingiusto procedimento. Spese legali. Torto morale</w:t>
      </w:r>
    </w:p>
    <w:p>
      <w:r>
        <w:t>Incarto n. 60.2010.345 Lugano 10 dicembre 2010 In nome della Repubblica e Cantone Ticino La Camera dei ricorsi penali del Tribunale d'appello composta dai giudici: Mauro Mini, presidente, Raffaele Guffi, Ivano Ranzanici segretaria: Claudia Malaguerra Bernasconi, vicecancelliera sedente per statuire sull’istanza 20/21.9.2010 presentata da IS 1 patr. da: PR 1 tendente ad ottenere, in relazione all’esito del procedimento penale sfociato nel decreto di non luogo a procedere 23.9.2010 emanato dal procuratore pubblico Nicola Respini (NLP __________), un’indennità ai sensi degli art. 317 ss. CPP; richiamate le osservazioni 25/26.10.2010 del procuratore pubblico e 2/3.11.2010 della Divisione della giustizia, nelle quali si rimettono entrambi al giudizio di questa Camera; preso atto che, su domanda 21.10.2010 di questa Camera, il 25/26.10.2010 IS 1 ha comunicato che le spese di patrocinio non sono state coperte, anticipate o garantite da compagnie di assicurazioni o da terzi; letti ed esaminati gli atti; considerato in fatto ed in diritto che a seguito delle dichiarazioni rese alla Polizia cantonale da __________ __________ cittadina __________ contattata tramite un annuncio su internet dai coniugi IS 1, affinché si occupasse del piccolo __________ in qualità di baby sitter ed aiuto domestico, sono state aperte delle informazioni preliminari nei confronti di questi ultimi per titolo di violazione del dovere d’assistenza o educazione; che la Polizia giudiziaria ha poi constatato che l’abitazione dei coniugi IS 1 risultava sporca e disordinata, motivo per cui le autorità penali hanno sospettato che essi vivessero una situazione di difficoltà e di disagio familiare tali da non potersi occupare adeguatamente del neonato (cfr. decreto di non luogo a procedere 23.9.2010, NLP __________); che il piccolo __________ è stato posto presso il Servizio di pediatria dell’Ospedale Regionale di __________, dal 30 aprile al 4 maggio 2010; che l’Ufficio delle famiglie e dei minori, come richiesto dalla Commissione Tutoria __________, ha esperito una valutazione socio ambientale del nucleo familiare; che non è stato riscontrato nulla di anomalo durante la degenza del piccolo __________; che giusta il rapporto presentato in data 31.8.2010 dall’Ufficio delle famiglie e dei minori è emersa la necessità per i coniugi IS 1 di un aiuto nello svolgere il loro ruolo genitoriale; che con decisione 23.9.2010 il magistrato inquirente ha decretato il non luogo a procedere ritenendo che “(…) i fatti emersi nel corso dell’inchiesta non permettono di concludere per una violazione dell’art. 219 CP (…)” (decreto di non luogo a procedere 23.9.2010, p. 2, NLP __________); che con l’istanza in esame presentata nel termine di un anno di cui all’art. 320 cpv. 1 CPP, IS 1, che protesta le ripetibili di questa sede, chiede che lo Stato della Repubblica e del Cantone Ticino sia condannato a versargli, quale risarcimento del danno sofferto in seguito al procedimento penale, l’importo di CHF 2'142.70, di cui CHF 1'000.-- a titolo di riparazione del torto morale e CHF 1'142.70 per spese di patrocinio; che giusta l’art. 317 CPP l’ 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 6. ed., Basilea 2005, § 109 n. 1 ss.); che – come detto – il diritto in questione compete all’ accusato ;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1/2 CPP); che in questa fase preliminare l’interessato non ha veste di accusato e pertanto non necessita generalmente dell’assistenza di un difensore; che la qualità di parte processuale nasce infatti, come esposto, con la promozione dell’accusa e da quel momento l’ accusato beneficia di determinati diritti e, segnatamente, di essere assistito da un legale, di accedere agli atti e di partecipare agli interrogatori (art. 49 ss. CPP); che la giurisprudenza cantonale ha nondimeno superato questa concezione formale di accusato , basandosi su una nozione sostanziale, riferita alla persona concretamente sospettata di un reato, indipendentemente dalla formale promozione dell’accusa (L. MARAZZI, Il Giar, L’arbitro nel processo penale, Lugano 2001, p. 12 ss.); che è quindi da considerare accusata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(decisione TF 1B_172/2007 del 2.10.2007);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[decisione TF 1B_186/2007 del 31.10.2007]; che nel caso di evidenti reati minori (“ Bagatelldelikte ”), ove entri in considerazione solo una multa o una pena privativa della libertà di poco conto, è negato il diritto costituzionale ad un patrocinatore (decisione TF 1B_172/2007 del 2.10.2007; M. RUSCA / E. SALMINA / C. VERDA, Commento del Codice di procedura penale ticinese, Lugano 1997, n. 18 ss. ad art. 49 CPP; G. PIQUEREZ, op. cit., n. 491 ss.; R. HAUSER / E. SCHWERI / K. HARTMANN, op. cit., § 40 n. 11/16; B. CORBOZ, Le droit constitutionnel à l'assistance judiciaire, in SJ 2003 II p. 67 ss.); che nella fattispecie in esame il procedimento penale si è concluso con un decreto di non luogo a procedere (NLP __________); che nei confronti di IS 1 non è quindi stata promossa l’accusa; che tuttavia, durante le informazioni preliminari, IS 1 ha subito importanti ripercussioni sulla sua sfera privata, essendo stato interrogato dalla Polizia giudiziaria il 30.4.2010, subendo una perquisizione della sua abitazione e, cosa ancor più grave, vedendosi allontanato dal figlio neonato [collocato dal 30.4.2010 al 4.5.2010 presso il servizio di pediatria dell’Ospedale __________ di __________ su ordine del procuratore pubblico (da quanto emerge dal verbale di interrogatorio 30.4.2010 di IS 1)]; che pertanto l’istante va ritenuto “accusato” ai sensi dell’art. 317 CPP; che, nello stabilire l’importo delle spese di patrocinio da risarcire, la Camera dei ricorsi penali verifica la conformità della nota d’onorario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TF 6B_194/2008 dell’11.8.2008, considerando 3.3.2)]; che l’istante postula la rifusione delle note professionali del suo patrocinatore di fiducia, avv. __________, di CHF 1'142.70, di cui CHF 1'000.-- di onorario (pari a 4 ore a 250.--/ora), CHF 62.-- di spese e CHF 80.70 di IVA (cfr. doc. C); che l’onorario – ovvero la tariffa applicata ed il dispendio orario – e le spese di cui il qui istante chiede la rifusione sono adeguati al caso; che a IS 1 va di conseguenza risarcito, a titolo di spese legali, l’importo di CHF 1'142.70, così come postulato; che interessi di mora non sono richiesti;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l’accusato che durante l’istruzione formale non è stato oggetto di un provvedimento restrittivo della libertà personale può ottenere un’indennità per torto morale unicamente se prova che a seguito dell’esecuzione di “altri atti istruttori” (per es. perquisizioni, sequestri, richieste di informazioni, ecc.) o per il semplice fatto di essere stato oggetto di un procedimento penale ha subito una grave violazione della sua personalità; che l’istante postula la riparazione del torto morale subito, quantificandolo in CHF 1'000.--: “In aggiunta della rifusione delle spese di patrocinio i signori IS 1, che dalla procedura in oggetto hanno patito una sofferenza non indifferente, vista la gravità delle imputazioni per dei genitori, ed in particolare hanno dovuto subire l’allontanamento coatto del proprio figlio per cinque giorni da casa. Tale misura, anche alla luce del decreto di abbandono [recte: decreto di non luogo a procedere] , risulta a maggior ragione oggi del tutto sproporzionata e fuori luogo. Vi era in effetti la possibilità di ricorrere a tutta una serie di misure minori, con il supporto della competente Tutoria, atte a verificare se i genitori vivessero effettivamente una situazione di disagio famigliare tale che non permetteva loro di occuparsi del figlio __________. (…). È quindi chiaro che nella fattispecie vi sia stato un eccesso ingiustificato che ha portato ad uno sconfinamento, senza alcuna giustificazione, di una pratica di natura civilistica in un ambito di natura penale, portando così alla ingiustificata oltre che dolorosa ed umiliante sottrazione del figlio per 5 giorni (…)” (istanza 20/21.10.2010, p. 3 s.); che secondo quanto indicato nel rapporto del dr. med. __________ e del dr. med __________ del servizio di pediatria dell’Ospedale __________ di __________, i coniugi IS 1 hanno sempre avuto la possibilità “(…) di rimanere liberamente accanto al bambino e di accudirlo in accordo con il personale infermieristico (…)” (rapporto 7.5.2010 allegato al rapporto di polizia 17.6.2010, AI 11, inc. __________); che pertanto nulla va riconosciuto a IS 1 a titolo di torto morale; che l’istante postula ripetibili di questa sede;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 tutto ciò considerato, ritenuto il solo parziale accoglimento dell’istanza – va pertanto ammesso un importo di CHF 250.--, comprendente onorario e spese; che all’istante – quale indennità per ingiusto procedimento – è risarcito l’importo complessivo di CHF 1'392.70, di cui CHF 1'142.70 per spese legali, e CHF 250.-- per ripetibili; che giusta l’art. 39 cpv. 2 LTG la tassa di giustizia per le azioni concernenti l’indennità dell’accusato prosciolto e l’indennità per la detenzione illegale è fissata nei limiti stabiliti nell’art. 14 LTG e nell’art. 17 LTG; che la tassa di giustizia di CHF 150.-- e le spese di CHF 50.--, per complessivi CHF 200.--, sono poste a carico dell’istante, parzialmente soccombente, in ragione di CHF 100.--. Per questi motivi, richiamati gli art. 317 ss. CPP ed ogni altra norma applicabile, pronuncia 1.   L’istanza è parzialmente accolta. Di conseguenza lo Stato della Repubblica e del Cantone Ticino, Bellinzona, in relazione al decreto di non luogo a procedere 23.9.2010 emanato dal procuratore pubblico Nicola Respini (NLP __________), rifonderà a IS 1, __________ , __________, a titolo di indennità giusta gli art. 317 ss. CPP, l’importo di CHF 1'392.70. 2.   La tassa di giustizia di CHF 150.-- e le spese di CHF 50.--, per complessivi CHF 200.-- (duecento), sono poste a carico di IS 1, __________ , __________, in ragione di CHF 100.--.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