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60.2010.26 vom 30. Juli 2010</w:t>
      </w:r>
    </w:p>
    <w:p>
      <w:r>
        <w:t>TI Tribunale d'appello, 2010-07-30, IT</w:t>
      </w:r>
    </w:p>
    <w:p>
      <w:r>
        <w:rPr>
          <w:b/>
        </w:rPr>
        <w:t xml:space="preserve">Quelle: </w:t>
      </w:r>
      <w:r>
        <w:t>https://mcp.opencaselaw.ch/entscheid/ti_gerichte_60.2010.26</w:t>
      </w:r>
    </w:p>
    <w:p>
      <w:r>
        <w:t>FR: TI_GERICHTE 60.2010.26 du 30 juillet 2010</w:t>
      </w:r>
    </w:p>
    <w:p>
      <w:r>
        <w:t>IT: TI_GERICHTE 60.2010.26 del 30 luglio 2010</w:t>
      </w:r>
    </w:p>
    <w:p>
      <w:pPr>
        <w:pStyle w:val="Heading2"/>
      </w:pPr>
      <w:r>
        <w:t>Regeste</w:t>
      </w:r>
    </w:p>
    <w:p>
      <w:r>
        <w:t>Istanza di indennità per ingiusto procedimento. accusato. spese legali</w:t>
      </w:r>
    </w:p>
    <w:p>
      <w:pPr>
        <w:pStyle w:val="Heading2"/>
      </w:pPr>
      <w:r>
        <w:t>Volltext</w:t>
      </w:r>
    </w:p>
    <w:p>
      <w:r>
        <w:t>Tessin Camera dei ricorsi penali 30.07.2010 60.2010.26 Tessin Camera dei ricorsi penali 30.07.2010 60.2010.26 Ticino Camera dei ricorsi penali 30.07.2010 60.2010.26</w:t>
      </w:r>
    </w:p>
    <w:p>
      <w:r>
        <w:t>Istanza di indennità per ingiusto procedimento. accusato. spese legali</w:t>
      </w:r>
    </w:p>
    <w:p>
      <w:r>
        <w:t>Incarto n. 60.2010.26 Lugano 30 luglio 2010 /dp In nome della Repubblica e Cantone Ticino La Camera dei ricorsi penali del Tribunale d'appello composta dai giudici: Mauro Mini, presidente, Raffaele Guffi, Ivano Ranzanici segretaria: Alessandra Mondada, vicecancelliera sedente per statuire sull’istanza 26/27.1.2010 presentata da IS 1 patr. da: PR 1 tendente ad ottenere, in relazione all’esito del procedimento penale sfociato nel decreto di non luogo a procedere 4.12.2009 emanato dal procuratore pubblico Fiorenza Bergomi (NLP __________), un’indennità per ingiusto procedimento a’ sensi degli art. 317 ss. CPP; richiamati gli scritti 3/4.2.2010 della Divisione della giustizia – che si è rimessa alle osservazioni che avrebbe presentato il Ministero pubblico – e 12.2.2010 del magistrato inquirente – che si è rimesso al giudizio di questa Camera –; letti ed esaminati gli atti; considerato in fatto ed in diritto che il 24.4.2009 / 5.6.2009 __________, amministratore unico di __________, __________, ha denunciato __________, __________ e IS 1 – questi ultimi dipendenti della predetta società quali ingegnere civile rispettivamente segretaria/contabile – per titolo di appropriazione indebita, truffa e falsità in documenti; che con decisione 4.12.2009 il procuratore pubblico ha decretato il non luogo a procedere in capo al procedimento penale in difetto di seri indizi di colpevolezza (NLP __________); che con l’istanza in esame – presentata nel termine di un anno di cui all’art. 320 cpv. 1 CPP – IS 1 chiede, protestando le ripetibili, che lo Stato della Repubblica e del Cantone Ticino sia condannato a versarle, quale risarcimento del danno sofferto in seguito al procedimento penale, l’importo di CHF 4'862.90, oltre interessi, per spese legali (che ha dichiarato non essere coperte da assicurazioni o da terzi);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nella fattispecie il procedimento penale si è concluso con un decreto di non luogo a procedere (NLP __________); che nei confronti dell’istante non è quindi stata promossa l’accusa; che, nell’ambito delle informazioni preliminari, il 22.6.2009 il procuratore pubblico ha ordinato la comparizione forzata di IS 1 per essere interrogata in qualità di denunciata (AI 24), audizione svoltasi il giorno successivo per una durata di oltre quattro ore (AI 28); che ha inoltre disposto la perquisizione della di lei abitazione e di ogni altro vano e spazio a sua disposizione ed il sequestro di tutti gli oggetti rinvenuti che potessero avere importanza per l’istruzione del processo [“ In particolare, tutta la documentazione sia su supporto cartaceo (corrispondenza, ordini di pagamento o altro) che su supporto informatico (computers, CD, penne USB, floppy discs) riconducibile alla __________, nonché la documentazione bancaria di relazioni riconducibili alla denunciata (estratti conto o altro) ed ogni altro documento sia su supporto cartaceo che informatico utile all’inchiesta ” (AI 23)], ordine concretizzatosi con il sequestro di, segnatamente, un computer portatile, due telefoni e mappette con varia documentazione (AI 31); che con scritto 9/10.7.2009 il suo legale ha inviato al magistrato inquirente gli atti inerenti il suo conto presso __________ (AI 44); che, infine, l’istante è stata interrogata il 22.9.2009 a confronto con __________, che l’aveva sostituita presso __________ dopo le dimissioni inoltrate nel corso del mese di marzo 2009, audizione della durata di oltre tre ore (AI 66); che i predetti atti hanno senz’altro colpito in misura importante i di lei interessi, con notevoli ripercussioni sulla sua situazione personale; che IS 1 va dunque ritenuta accusata a’ sensi dell’art. 317 CPP anche se nei suoi confronti, formalmente, non è stata promossa l’accusa giusta l’art. 188 CPP; che, di principio, ha quindi diritto ad un’indennità per ingiusto procedimento; che la necessità della presenza di un difensore nasce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come si evince dal verbale di interrogatorio 23.6.2009, IS 1 è stata sentita “ (…) in qualità di denunciata per le ipotesi di reato di truffa, appropriazione indebita, falsità in documenti, riciclaggio, ricettazione e ogni altro reato che dovesse emergere ” (p. 1, AI 28), reati ipotizzati come commessi quale segretaria/contabile di __________; che detti reati – contro il patrimonio (art. 138, 146, 160 CP), inerenti la falsità in atti (art. 251 CP) e contro l’amministrazione della giustizia (art. 305bis CP), punibili con pene detentive anche fino a cinque anni – erano di non semplice comprensione giuridica; che le circostanze concrete imponevano pertanto la presenza di un legale; che, nello stabilire l’importo delle spese di patrocinio da risarcire, la Camera di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l’istante postula la rifusione della nota professionale del suo patrocinatore di fiducia, avv. PR 1, di CHF 4'862.90 [di cui CHF 4'516.70 di onorario (18 ore e 4 min a CHF 250.--/ora) e CHF 346.20 di spese (doc. B/C)], oltre interessi; che la tariffa applicata – CHF 250.--/ora – è conforme ai suddetti principi; che il dispendio orario appare adeguato al caso ad eccezione di quello inerente la prestazione “ ricezione decreto non luogo e leggo ” di data 11.12.2009 (60 min) [già esposta il 9.12.2009 – 15 min – come “ ricezione decreto di non luogo a procedere ” (doc. C)], operazione che non viene quindi riconosciuta, e di quello inerente la redazione dell’istanza di indennità (90 min), di tre pagine, senza problematiche particolari, che viene ammesso in 45 min; che le spese sono approvate come esposte; che a IS 1 va quindi rifuso, a titolo di spese legali, l’importo di CHF 4'761.65, di cui CHF 4'079.15 di onorario (16 ore e 19 min a CHF 250.--/ora) [979 min], CHF 346.20 di spese e CHF 336.30 di IVA (anche se non esplicitamente richiesta); che per gli interessi moratori sono applicabili le disposizioni generali del CO e pertanto essi vanno riconosciuti al tasso del 5% (art. 104 cpv. 1 CO) dalla prima interpellazione agli atti (art. 102 CO), ossia, nel caso concreto, dall’introduzione in data 26.1.2010 della presente istanza; che le ripetibili, protestate, sono già state considerate nella nota professionale; che giusta l’art. 39 cpv. 2 LTG la tassa di giustizia per le azioni concernenti l’indennità dell’accusato prosciolto e l’indennità per la detenzione illegale è fissata nei limiti stabiliti nell’art. 14 LTG e nell’art. 17 LTG; che la tassa di giustizia di CHF 800.-- e le spese di CHF 50.--, per complessivi CHF 850.--, sono poste a carico della qui istante, parzialmente soccombente, per la somma di CHF 50.--. Per questi motivi, richiamati gli art. 317 ss. CPP ed ogni altra norma applicabile, pronuncia 1.   L’istanza è parzialmente accolta. Di conseguenza lo Stato della Repubblica e del Cantone Ticino, Bellinzona, in relazione al decreto di non luogo a procedere 4.12.2009 emanato dal procuratore pubblico Fiorenza Bergomi (NLP __________), rifonderà a IS 1, __________, __________, a titolo di indennità giusta gli art. 317 ss. CPP, l’importo di CHF 4'761.65, oltre interessi del 5% dal 26.1.2010. 2.   La tassa di giustizia di CHF 800.-- e le spese di CHF 50.--, per complessivi CHF 850.--, sono poste a carico di IS 1, __________, __________, in ragione di CHF 50.--.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