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60.2009.354 vom 17. März 2010</w:t>
      </w:r>
    </w:p>
    <w:p>
      <w:r>
        <w:t>TI Tribunale d'appello, 2010-03-17, IT</w:t>
      </w:r>
    </w:p>
    <w:p>
      <w:r>
        <w:rPr>
          <w:b/>
        </w:rPr>
        <w:t xml:space="preserve">Quelle: </w:t>
      </w:r>
      <w:r>
        <w:t>https://mcp.opencaselaw.ch/entscheid/ti_gerichte_60.2009.354</w:t>
      </w:r>
    </w:p>
    <w:p>
      <w:r>
        <w:t>FR: TI_GERICHTE 60.2009.354 du 17 mars 2010</w:t>
      </w:r>
    </w:p>
    <w:p>
      <w:r>
        <w:t>IT: TI_GERICHTE 60.2009.354 del 17 marzo 2010</w:t>
      </w:r>
    </w:p>
    <w:p>
      <w:pPr>
        <w:pStyle w:val="Heading2"/>
      </w:pPr>
      <w:r>
        <w:t>Regeste</w:t>
      </w:r>
    </w:p>
    <w:p>
      <w:r>
        <w:t>Istanza di indennità per ingiusto procedimento. tempestività. accusato prosciolto. spese legali. torto morale</w:t>
      </w:r>
    </w:p>
    <w:p>
      <w:pPr>
        <w:pStyle w:val="Heading2"/>
      </w:pPr>
      <w:r>
        <w:t>Erwägungen</w:t>
      </w:r>
    </w:p>
    <w:p>
      <w:r>
        <w:rPr>
          <w:b/>
        </w:rPr>
        <w:t>E. 8</w:t>
      </w:r>
    </w:p>
    <w:p>
      <w:r>
        <w:t>ed., Zurigo/Basilea/Ginevra 2006, p. 78 ss.]: il procuratore pubblico – pur senza esplicitamente esprimersi sull’illiceità e sulla colpa dell’accusato – ha del resto ritenuto adempiuto il reato dal profilo oggettivo / soggettivo (decreto di abbandono 13.6/7.2007, p. 6, ABB __________) e quindi colpevole IS 1; che è peraltro evidente che, qualora il magistrato inquirente avesse reputato il reato ipotizzato (art. 260bis cpv. 1 CP) non realizzato dal profilo oggettivo oppure soggettivo rispettivamente dal profilo dell’illiceità oppure della colpa, avrebbe dovuto abbandonare il procedimento penale in quanto tale, senza fare riferimento all’art. 260bis cpv. 2 CP; che, detto al contrario, l’applicazione dell’art. 260bis cpv. 2 CP presuppone la realizzazione degli elementi oggettivi e soggettivi dell’art. 260bis cpv. 1 CP; che il fatto che il procuratore pubblico abbia dovuto prescindere da una sanzione in applicazione dell’art. 260bis cpv. 2 CP non è pertanto sufficiente per reputare ingiusto , ovvero ingiustificato , il procedimento penale [cfr. decisione 28.11.2006 di questa Camera in re X. (inc. 60.2006.182), con cui ha negato l’applicazione dell’art. 317 CPP in un caso in cui era stato aperto un procedimento penale a carico di una persona che si era poi rivelata totalmente irresponsabile al momento dei fatti ed a favore della quale era stato emesso, per questa ragione, un decreto di abbandono]; che formalmente, in applicazione dell’art. 260bis cpv. 2 CP, sarebbe più corretto emettere un decreto di accusa prescindendo dalla pena; che di conseguenza – ancorché formalmente prosciolto – IS 1, anche se l’istanza 22.9.2009 fosse tempestiva, non potrebbe appellarsi all’art. 317 CPP in relazione al decreto di abbandono 13.6.2007 (ABB __________); che, oggetto del presente giudizio, possono quindi essere soltanto i nocumenti conseguenti all’imputazione di cui al decreto di accusa 13.6.2007 (DA __________), sfociato nella decisione 22.9.2008 del giudice della Pretura penale (inc. __________);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del suo patrocinatore d’ufficio (AI 11) di CHF 12'419.95 [di cui CHF 11'112.50 di onorario (44 ore e 27 minuti a CHF 250.--/ora), CHF 430.20 di spese e CHF 877.25 di IVA], oltre interessi; che, come indicato, può essere presa in considerazione soltanto l’imputazione di appropriazione indebita, sfociata nel giudizio 22.9.2008 della Pretura penale (inc. __________); che, per questo reato, non è stata promossa l’accusa: IS 1 è infatti stato arrestato, con contestuale (art. 184 cpv. 3 CPP) promozione dell’accusa, per le ipotesi di ripetuti atti preparatori punibili (alla rapina) e di ripetuta tentata rapina [AI 2/6/7];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la fattispecie inerente l’imputazione di appropriazione indebita non comportava alcuna difficoltà in fatto e/o in diritto; che su questo reato IS 1 è peraltro stato verbalizzato, nel corso dell’audizione davanti al magistrato inquirente in data 28.10.2004 (AI 79), presente il suo difensore, per sole otto righe; che la pena proposta nel decreto di accusa 13.6.2007 (DA __________) – pena pecuniaria di CHF 450.-- (quindici aliquote da CHF 30.--/aliquota), da dedursi il carcere preventivo sofferto – attesta il carattere di bagattella della fattispecie; che, in queste circostanze, si deve concludere che il procedimento penale – con riferimento al titolo di appropriazione indebita – non ha manifestamente avuto importanti ripercussioni sulla situazione personale di IS 1, arrestato non già per questo reato, ma – come ben si evince dagli atti – per ripetuti atti preparatori punibili (alla rapina) e ripetuta tentata rapina [AI 2/6/7], imputazioni che hanno giustificato anche la nomina di un difensore d’ufficio (AI 11); che l’istante – in merito al reato di cui all’art. 138 CP – non può di conseguenza essere ritenuto accusato a’ sensi dell’art. 317 CPP prima dell’emanazione del decreto di accusa in data 13.6.2007, quando ha acquisito la qualità di accusato ; che possono pertanto essere rifusi soltanto gli oneri legali successivi all’emanazione del decreto di accusa (DA __________), ovvero onorario e spese inerenti la preparazione del dibattimento e la partecipazione al processo conseguenti all’opposizione al decreto di accusa interposta il 25/26.6.2007; che, come detto, il caso non presentava alcuna particolare difficoltà in fatto e/o in diritto, come peraltro emerge dal tenore dell’arringa di difesa, riportata nel giudizio 22.9.2008; che del resto il motivo – inesistenza di valida querela penale – per cui il procedimento penale è stato stralciato dai ruoli attesta ulteriormente la semplicità del procedimento penale, che non esigeva significativo / importante onere per il legale; che determinante è del resto non tanto l’impiego temporale effettivo nel caso concreto, quanto semmai quello medio che un avvocato diligente avrebbe profuso, secondo la normale esperienza, nell’esecuzione di un mandato di complessità analoga (REP. 1998 n. 126); che nella trattazione del mandato al legale spetta altresì tenere conto di una certa proporzionalità; che – tutto ciò considerato – si giustifica riconoscere un onorario pari a 8 ore e 5 minuti a CHF 250.--/ora (tariffa come richiesta), per complessivi CHF 2'020.85, di cui 90 minuti per i colloqui (di persona / telefonici) con il cliente, 150 minuti per la lettura / l’esame degli atti e la preparazione del dibattimento, 30 minuti per gli scritti, 15 minuti per i colloqui con terzi e 200 minuti per il dibattimento [apertosi alle ore 14.05 e riapertosi alle ore 15.50 per la lettura del dispositivo (cfr. verbale 22.9.2008)] (compresa la trasferta __________); che le spese sono ammesse in CHF 168.--, di cui CHF 50.-- per l’apertura / archiviazione incarto, CHF 40.-- per gli scritti, CHF 10.-- per le telefonate (CHF 0.15/min) [compresi gli sms], CHF 64.-- per la trasferta __________ il 22.9.2008 [km 64 (indicatore delle distanze chilometriche da Bellinzona, Lugano, Locarno verso il Ticino)] e CHF 4.-- per le spese di parcheggio [non si riconoscono le spese per “ scritturazione parcella + dettaglio ” di data 22.9.2008, esse rimanendo a carico del legale]; che l’IVA ammonta a CHF 166.35; che al qui istante va rifuso, a titolo di spese legali, l’importo complessivo di CHF 2'355.20, oltre interessi dal 22.9.2009, ovvero dall’introduzione dell’istanza, come richiesto;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2'800.-- (CHF 200.--/giorno per i quattordici giorni di carcerazione), oltre interessi, per torto morale; che IS 1 è stato arrestato il 14.10.2004 con le accuse di ripetuti atti preparatori punibili (alla rapina) e di ripetuta tentata rapina [AI 2/6/7], provvedimento confermato il giorno dopo dal giudice dell’istruzione e dell’arresto (AI 10); che la privazione della libertà, perdurata fino al 28.10.2004, quando l’accusato è stato scarcerato (AI 80), non concerneva quindi l’imputazione poi oggetto del decreto di accusa 13.6.2007; che nondimeno il procuratore pubblico – in ossequio all’art. 51 CP ( il giudice computa nella pena il carcere preventivo scontato nell’ambito del procedimento in atto o di un altro procedimento; un giorno di carcere corrisponde a un’aliquota giornaliera di pena pecuniaria o a quattro ore di lavoro di pubblica utilità ) – ha computato detta carcerazione nella pena proposta nel decreto di accusa 13.6.2007 [“ Alla pena pecuniaria di fr. 450.--, corrispondente a 15 aliquote da fr. 30.00 (art. 34 e seg. CP), da dedursi il carcere preventivo sofferto ” (DA __________)], rendendola quindi oggetto della sanzione penale indicata dal decreto in questione, procedimento poi stralciato; che di conseguenza appare corretto indennizzare i giorni di privazione di libertà sofferti, anche se materialmente concernono altre imputazioni; che per i quattordici (recte: quindici) giorni di carcerazione va quindi riconosciuto l’importo richiesto di CHF 3'000.--, oltre interessi dal 28.10.2004, come postulato; che non ci sono elementi che inducono a ridurre detta indennità; che chiede una somma, da definire, per ripetibili;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solo parziale accoglimento dell’istanza – va pertanto ammesso un importo di CHF 300.--, comprendente onorario, spese ed IVA; che a IS 1 – quale indennità per ingiusto procedimento – va risarcito l’importo complessivo di CHF 5'655.20, di cui CHF 2'355.20, oltre interessi, per spese legali, CHF 3'000.--, oltre interessi, per torto morale e CHF 300.-- per ripetibili; che giusta l’art. 39 cpv. 2 LTG la tassa di giustizia per le azioni concernenti l’indennità dell’accusato prosciolto e l’indennità per la detenzione illegale è fissata nei limiti stabiliti nell’art. 14 LTG e nell’art. 17 LTG; che la tassa di giustizia di CHF 1'800.-- e le spese di CHF 50.--, per complessivi CHF 1'850.--, sono poste a carico del qui istante, parzialmente soccombente, per la somma di CHF 1'200.--. Per questi motivi, richiamati gli art. 317 ss. CPP ed ogni altra norma applicabile, pronuncia 1.   L’istanza, per quanto ricevibile, è parzialmente accolta. Di conseguenza lo Stato della Repubblica e del Cantone Ticino, Bellinzona, in relazione al giudizio 22.9.2008 del giudice della Pretura penale Giorgio Bassetti (inc. __________), rifonderà a IS 1, __________, __________, a titolo di indennità giusta gli art. 317 ss. CPP, l’importo di CHF 5'655.20, oltre interessi del 5% su CHF 2'355.20 dal 22.9.2009 e su CHF 3'000.-- dal 28.10.2004. 2.   La tassa di giustizia di CHF 1’800.-- e le spese di CHF 50.--, per complessivi CHF 1’850.--, sono poste a carico di IS 1, __________, __________, in ragione di CHF 1'200.--.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