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60.2009.303 vom 7. September 2009</w:t>
      </w:r>
    </w:p>
    <w:p>
      <w:r>
        <w:t>TI Tribunale d'appello, 2009-09-07, IT</w:t>
      </w:r>
    </w:p>
    <w:p>
      <w:r>
        <w:rPr>
          <w:b/>
        </w:rPr>
        <w:t xml:space="preserve">Quelle: </w:t>
      </w:r>
      <w:r>
        <w:t>https://mcp.opencaselaw.ch/entscheid/ti_gerichte_60.2009.303</w:t>
      </w:r>
    </w:p>
    <w:p>
      <w:r>
        <w:t>FR: TI_GERICHTE 60.2009.303 du 7 septembre 2009</w:t>
      </w:r>
    </w:p>
    <w:p>
      <w:r>
        <w:t>IT: TI_GERICHTE 60.2009.303 del 7 settembre 2009</w:t>
      </w:r>
    </w:p>
    <w:p>
      <w:pPr>
        <w:pStyle w:val="Heading2"/>
      </w:pPr>
      <w:r>
        <w:t>Regeste</w:t>
      </w:r>
    </w:p>
    <w:p>
      <w:r>
        <w:t>Ricorso contro la decisione del GIAR in materia di assistenza giudiziaria. Gratuito patrocinio</w:t>
      </w:r>
    </w:p>
    <w:p>
      <w:pPr>
        <w:pStyle w:val="Heading2"/>
      </w:pPr>
      <w:r>
        <w:t>Erwägungen</w:t>
      </w:r>
    </w:p>
    <w:p>
      <w:r>
        <w:rPr>
          <w:b/>
        </w:rPr>
        <w:t>E. 1</w:t>
      </w:r>
    </w:p>
    <w:p>
      <w:r>
        <w:t>Giusta l’art. 35 Lag, contro la decisione di rifiuto o di revoca dell’assistenza giudiziaria del giudice dell’istruzione e dell’arresto  può ricorrere la persona richiedente o beneficiaria, entro 15 giorni. Il gravame, presentato tempestivamente dal richiedente, è ricevibile in ordine. Giusta l’art. 36 Lag, contro la retribuzione il ricorso deve essere presentato dal beneficiario o dal patrocinatore entro 15 giorni al Consiglio di moderazione.</w:t>
      </w:r>
    </w:p>
    <w:p>
      <w:r>
        <w:rPr>
          <w:b/>
        </w:rPr>
        <w:t>E. 2</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1B_172/2007 del 2.10.2007; 1B_153/2007 del 25.9.2007; DTF 131 I 350, 129 I 281 e 127 I 202; RDAT 65/II – 2002 e 56/II – 2001).</w:t>
      </w:r>
    </w:p>
    <w:p>
      <w:r>
        <w:rPr>
          <w:b/>
        </w:rPr>
        <w:t>E. 3</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4</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1B_170/2007 del 24.9.2007; DTF 127 I 202). Nel caso di evidenti reati minori (“ Bagatelldelikte ”), ove entri in considerazione solo una multa o una pena privativa della libertà di poco conto, il Tribunale federale nega invece il diritto costituzionale al gratuito patrocinio (cfr. art. 2 cpv. 1 Lag; decisione TF 1B_170/2007 del 24.9.2007 e riferimenti; M. RUSCA / E. SALMINA / C. VERDA, op. cit., n. 2 e 18 ss. ad art. 49 vCPP; G. PIQUEREZ, Traité de procédure pénale suisse, 2. ed., Ginevra/Zurigo/Basilea 2006, n. 491 ss., p. 317 ss.; R. HAUSER / E. SCHWERI / K. HARTMANN, Schweizerisches Strafprozessrecht, 6. ed., Basilea 2005, § 40 n. 11 e 16; B. CORBOZ, Le droit constitutionnel à l’assistance judiciaire, in SJ 2003 II p. 67 ss.).</w:t>
      </w:r>
    </w:p>
    <w:p>
      <w:r>
        <w:rPr>
          <w:b/>
        </w:rPr>
        <w:t>E. 5</w:t>
      </w:r>
    </w:p>
    <w:p>
      <w:r>
        <w:t>Nel presente caso si pone anzitutto il quesito dell’inizio degli effetti dell’eventuale concessione del gratuito patrocinio. La domanda di gratuito patrocinio è intervenuta dopo l’allestimento e l’invio del ricorso del 29.5/2.6.2009: datata 2.6.2009, è pervenuta al giudice dell’istruzione e dell’arresto il giorno seguente. Per il magistrato, l’invio successivo rende tardiva la richiesta di gratuito patrocinio. Per il ricorrente, la decisione del magistrato sarebbe costitutiva di formalismo eccessivo.</w:t>
      </w:r>
    </w:p>
    <w:p>
      <w:r>
        <w:rPr>
          <w:b/>
        </w:rPr>
        <w:t>E. 6</w:t>
      </w:r>
    </w:p>
    <w:p>
      <w:r>
        <w:t>L’art. 26 cpv. 1 in fine Lag stabilisce in modo chiaro che  l’eventuale gratuito patrocinio “(…) ha effetto a partire dal momento della presentazione della domanda ”. Può restare aperta la questione della tempestività della domanda poiché dopo la stessa non vi sono più stati interventi significativi del patrocinatore. Occorre infatti considerare come la richiesta sia riferita a una procedura ricorsuale (non per un procedimento penale in corso), nella quale, dopo la presentazione del gravame (29.5/2.6.2009), e dopo la presentazione della richiesta di gratuito patrocinio (2/3.6.2009), non vi sono stati più sviluppi significativi. Dopo il 2/3.6.2009 vi è stata unicamente l’intimazione alle parti delle osservazioni al gravame e l’emanazione della sentenza, atti che hanno comportato, in base alla nota 10.8.2009 inviata dal ricorrente (doc. 5), un dispendio di tempo totale di 20 minuti. Sostanzialmente, tutto il lavoro del patrocinatore (studio della decisione da impugnare, contatti con la Sezione circolazione, contatti con il cliente, studio giurisprudenza e allestimento del ricorso) è stato svolto prima del 2/3.6.2009. Applicando il chiaro testo dell’art. 26 cpv. 1 in fine Lag, la richiesta di gratuito patrocinio è perciò praticamente tardiva rispetto al lavoro prestato dal patrocinatore, non potendosi pretendere la concessione del gratuito patrocinio per la lettura delle osservazioni e della sentenza. Giuridicamente, siccome tardiva rispetto alle prestazioni cui si riferisce, la richiesta è perciò priva d’oggetto. La conclusione del magistrato è quindi sostanzialmente condivisibile: in quanto tesa alla copertura di quanto avvenuto prima del 2/3.6.2009 (ovvero l’essenziale dell’attività svolta dal patrocinatore), la richiesta, tardiva, è priva d’oggetto.</w:t>
      </w:r>
    </w:p>
    <w:p>
      <w:r>
        <w:rPr>
          <w:b/>
        </w:rPr>
        <w:t>E. 7</w:t>
      </w:r>
    </w:p>
    <w:p>
      <w:r>
        <w:t>Per rimediare a questa evidente e pacifica conclusione, il ricorrente invoca il divieto di formalismo eccessivo. Secondo la giurisprudenza vi è formalismo eccessivo, costitutivo di un diniego di giustizia formale, quando un'autorità impone il rispetto di una norma formale che non è giustificato da nessun interesse degno di protezione, risulta fine a sé stesso, complica inutilmente o rende impossibile il giudizio di merito (DTF 128 II 139 consid. 2a pag. 142 con rinvii). L'eccesso di formalismo può risiedere sia in una regola di comportamento imposta alla parte interessata dal diritto cantonale che nella sanzione a questa connessa (DTF 125 I 166 consid. 3a pag. 70). Nella misura in cui viene, in sostanza, a sanzionare l'atteggiamento dell'autorità nei confronti delle parti, il divieto del formalismo eccessivo persegue il medesimo scopo del principio della buona fede, che impone all'autorità di evitare di sanzionare con l'irricevibilità vizi di procedura facilmente riconoscibili, che avrebbero potuto essere sanati per tempo, qualora essa avesse potuto rendersene conto e segnalarli alla parte interessata (DTF 125 I 166 consid. 3a pag. 70). In particolare merita di essere tutelato chi, non avendo conoscenze giuridiche sufficienti, decide di affidarsi ad un rappresentante legale; esiste, in effetti, un interesse pubblico certo a proteggere i cittadini dal rischio di incaricare una persona incompetente, che potrebbe privarli della possibilità di far valere i loro diritti a causa, ad esempio, di un errore procedurale.</w:t>
      </w:r>
    </w:p>
    <w:p>
      <w:r>
        <w:rPr>
          <w:b/>
        </w:rPr>
        <w:t>E. 8</w:t>
      </w:r>
    </w:p>
    <w:p>
      <w:r>
        <w:t>Nel presente caso l’eccesso di formalismo è invocato manifestamente a torto, al limite del temerario. Anzitutto il testo dell’art. 26 cpv. 1 in fine Lag è chiaro e non si presta a fraintendimento. Inoltre il ricorrente avrebbe avuto tutto il tempo, dalla ricezione della prima decisione (31.3.2009), ma anche dalla ricezione della seconda decisione (18.5.2009) e prima della presentazione del ricorso, per postulare la concessione del gratuito patrocinio, ritenuta la semplicità dell’istanza presentata il 2/3.6.2009. Infine il ricorrente, persona spesso confrontata con procedure penali, era anche patrocinato da un legale. In simili circostanze, non c’è spazio per ammettere un formalismo eccessivo relativo alla corretta applicazione di una norma legale chiara.</w:t>
      </w:r>
    </w:p>
    <w:p>
      <w:r>
        <w:rPr>
          <w:b/>
        </w:rPr>
        <w:t>E. 9</w:t>
      </w:r>
    </w:p>
    <w:p>
      <w:r>
        <w:t>Considerato quanto detto ai punti precedenti, non si giustifica di entrare nel merito dell’ulteriore censura sollevata nel gravame, relativa alla retribuzione e alle ripetibili, sfuggendo peraltro l’esame della retribuzione alla competenza di questa Camera (art. 36 Lag).</w:t>
      </w:r>
    </w:p>
    <w:p>
      <w:r>
        <w:rPr>
          <w:b/>
        </w:rPr>
        <w:t>E. 10</w:t>
      </w:r>
    </w:p>
    <w:p>
      <w:r>
        <w:t>Il ricorso, per quanto ricevibile, è respinto. Data la situazione del ricorrente, non si prelevano tassa di giustizia e spese, Per questi motivi, visti gli art. 26, 35 Lag ed ogni altra norma applicabile, pronuncia 1.   Il ricorso, per quanto ricevibile, è respinto.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