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60.2007.95 vom 2. April 2007</w:t>
      </w:r>
    </w:p>
    <w:p>
      <w:r>
        <w:t>TI Tribunale d'appello, 2007-04-02, IT</w:t>
      </w:r>
    </w:p>
    <w:p>
      <w:r>
        <w:rPr>
          <w:b/>
        </w:rPr>
        <w:t xml:space="preserve">Quelle: </w:t>
      </w:r>
      <w:r>
        <w:t>https://mcp.opencaselaw.ch/entscheid/ti_gerichte_60.2007.95</w:t>
      </w:r>
    </w:p>
    <w:p>
      <w:r>
        <w:t>FR: TI_GERICHTE 60.2007.95 du 2 avril 2007</w:t>
      </w:r>
    </w:p>
    <w:p>
      <w:r>
        <w:t>IT: TI_GERICHTE 60.2007.95 del 2 aprile 2007</w:t>
      </w:r>
    </w:p>
    <w:p>
      <w:pPr>
        <w:pStyle w:val="Heading2"/>
      </w:pPr>
      <w:r>
        <w:t>Regeste</w:t>
      </w:r>
    </w:p>
    <w:p>
      <w:r>
        <w:t>Istanza di decadenza della cauzione a favore dello Stato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patr. da: PR 1</w:t>
      </w:r>
    </w:p>
    <w:p>
      <w:r>
        <w:rPr>
          <w:b/>
        </w:rPr>
        <w:t>E. 2</w:t>
      </w:r>
    </w:p>
    <w:p>
      <w:r>
        <w:t>Per la Camera dei ricorsi penali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