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60.2007.77 vom 27. April 2007</w:t>
      </w:r>
    </w:p>
    <w:p>
      <w:r>
        <w:t>TI Tribunale d'appello, 2007-04-27, IT</w:t>
      </w:r>
    </w:p>
    <w:p>
      <w:r>
        <w:rPr>
          <w:b/>
        </w:rPr>
        <w:t xml:space="preserve">Quelle: </w:t>
      </w:r>
      <w:r>
        <w:t>https://mcp.opencaselaw.ch/entscheid/ti_gerichte_60.2007.77</w:t>
      </w:r>
    </w:p>
    <w:p>
      <w:r>
        <w:t>FR: TI_GERICHTE 60.2007.77 du 27 avril 2007</w:t>
      </w:r>
    </w:p>
    <w:p>
      <w:r>
        <w:t>IT: TI_GERICHTE 60.2007.77 del 27 aprile 2007</w:t>
      </w:r>
    </w:p>
    <w:p>
      <w:pPr>
        <w:pStyle w:val="Heading2"/>
      </w:pPr>
      <w:r>
        <w:t>Regeste</w:t>
      </w:r>
    </w:p>
    <w:p>
      <w:r>
        <w:t>Istanza di ispezione degli atti. pretura quale istante</w:t>
      </w:r>
    </w:p>
    <w:p>
      <w:pPr>
        <w:pStyle w:val="Heading2"/>
      </w:pPr>
      <w:r>
        <w:t>Volltext</w:t>
      </w:r>
    </w:p>
    <w:p>
      <w:r>
        <w:t>Tessin Camera dei ricorsi penali 27.04.2007 60.2007.77 Tessin Camera dei ricorsi penali 27.04.2007 60.2007.77 Ticino Camera dei ricorsi penali 27.04.2007 60.2007.77</w:t>
      </w:r>
    </w:p>
    <w:p>
      <w:r>
        <w:t>Istanza di ispezione degli atti. pretura quale istante</w:t>
      </w:r>
    </w:p>
    <w:p>
      <w:r>
        <w:t>Incarto n. 60.2007.77 Lugano 27 aprile 2007 In nome della Repubblica e Cantone Ticino La Camera dei ricorsi penali del Tribunale d'appello composta dai giudici: Mauro Mini, presidente, Raffaele Guffi, Ivano Ranzanici segretario: Rocco Filippini, vicecancelliere sedente per statuire sull’istanza 14/28.2.2007 presentata dalla IS 1 tendente ad ottenere informazioni relative ad eventuali procedimenti penali a carico delle parti in sede civile e, se del caso, tendente a permettere l’accesso agli incarti da parte del perito incaricato in sede civile; premesso che la richiesta è stata inviata direttamente al Ministero pubblico, che l’ha spedita a questa Camera in data 26/28.2.2007; richiamate le osservazioni 9.3.2007 del Ministero pubblico, mediante le quali preavvisa favorevolmente la richiesta, trasmettendo i relativi incarti; letti ed esaminati gli atti; considerato in fatto ed in diritto 1 .   Presso la Pretura istante è pendente una procedura di divorzio (inc. __________) nell’ambito della quale è stata ordinata una perizia. Per l’allestimento della stessa, la Pretura chiede di concedere l’accesso al perito incaricato agli eventuali incarti che hanno coinvolto i coniugi. 2 .   Il Ministero pubblico ha trasmesso gli incarti rintracciati a questa Camera (inc. MP __________, __________, __________, __________ e __________), preavvisando favorevolmente l’istanza. 3 .  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.” 4 .   Come ricordato dalla decisione di principio del 5.7.2001 di questa Camera (inc. __________), in caso di richiesta da parte di autorità giudiziarie per ottenere documenti di un incarto penale, la giurisprudenza ammette la domanda se: -  si riferisce a procedimenti ancora pendenti presso l'autorità richiedente; -  è compatibile con il codice di rito applicabile a quel procedimento; - è formulata dal titolare dell’autorità giudiziaria richiedente. Inoltre deve essere dato un legame di pertinenza dell’incarto richiamato con quello richiamante. 5 .   Nel presente caso è certamente data una pertinenza degli incarti penali con il referto che il perito incaricato dalla Pretura dovrà prolare. Di principio è ammesso un interesse giuridico legittimo. 6 .   L’istanza è accolta. Gli incarti potranno essere consultati dal perito presso questa Camera, previo contatto telefonico per fissare la data e l’ora. 7 .   La tassa di giustizia e le spese sono poste a carico della Pretura istante, che a sua volta le addosserà alle parti in base alle norme del CPC. Per questi motivi, visti gli art. 27 CPP, 39 lit. f LTG ed ogni altra norma applicabile, pronuncia 1.   L’istanza è accolta. 2. La tassa di giustizia di CHF 200.-- e le spese di CHF 50.--, per complessivi CHF 250.-- (duecentocinquanta), sono poste a carico della IS 1, __________, che le addosserà alle parti. 3.   Intimazione: terzi implicati PI 1 Per la Camera dei ricorsi penali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