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60.2007.379 vom 24. Juni 2008</w:t>
      </w:r>
    </w:p>
    <w:p>
      <w:r>
        <w:t>TI Tribunale d'appello, 2008-06-24, IT</w:t>
      </w:r>
    </w:p>
    <w:p>
      <w:r>
        <w:rPr>
          <w:b/>
        </w:rPr>
        <w:t xml:space="preserve">Quelle: </w:t>
      </w:r>
      <w:r>
        <w:t>https://mcp.opencaselaw.ch/entscheid/ti_gerichte_60.2007.379</w:t>
      </w:r>
    </w:p>
    <w:p>
      <w:r>
        <w:t>FR: TI_GERICHTE 60.2007.379 du 24 juin 2008</w:t>
      </w:r>
    </w:p>
    <w:p>
      <w:r>
        <w:t>IT: TI_GERICHTE 60.2007.379 del 24 giugno 2008</w:t>
      </w:r>
    </w:p>
    <w:p>
      <w:pPr>
        <w:pStyle w:val="Heading2"/>
      </w:pPr>
      <w:r>
        <w:t>Regeste</w:t>
      </w:r>
    </w:p>
    <w:p>
      <w:r>
        <w:t>Istanza di indennità per ingiusto procedimento. spese legali. danni materiali. torto morale. detenzione illegale. rifiuto / riduzione dell'indennità. regresso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CHF 10'000.-- e le spese di CHF 100.--, per complessivi CHF 10’100.-- (diecimilacento), sono poste a carico di IS 1, __________, __________, in ragione di CHF 9'900.-- (novemilanovecento).</w:t>
      </w:r>
    </w:p>
    <w:p>
      <w:r>
        <w:rPr>
          <w:b/>
        </w:rPr>
        <w:t>E. 3</w:t>
      </w:r>
    </w:p>
    <w:p>
      <w:r>
        <w:t>Rimedio di diritto : Contro decisioni finali, contro decisioni parziali, contro decisioni pregiudiziali e incidentali sulla competenza e la ricusazione e contro altre decisioni pregiudiziali e incidentali (art. 90 a 93 LTF) sono dati, entro trenta giorni dalla notificazione della decisione (art. 100 cpv. 1 LTF), il ricorso in materia penale rispettivamente il ricorso in materia di diritto pubblico al Tribunale federale per i motivi previsti dagli art. 95 a 98 LTF (art. 78, 82, 85 LTF). La legittimazione a ricorrere è disciplinata dagli art. 81 e 89 LTF. 4.   Intimazione: per conoscenza: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