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60.2006.54 vom 1. September 2006</w:t>
      </w:r>
    </w:p>
    <w:p>
      <w:r>
        <w:t>TI Tribunale d'appello, 2006-09-01, IT</w:t>
      </w:r>
    </w:p>
    <w:p>
      <w:r>
        <w:rPr>
          <w:b/>
        </w:rPr>
        <w:t xml:space="preserve">Quelle: </w:t>
      </w:r>
      <w:r>
        <w:t>https://mcp.opencaselaw.ch/entscheid/ti_gerichte_60.2006.54</w:t>
      </w:r>
    </w:p>
    <w:p>
      <w:r>
        <w:t>FR: TI_GERICHTE 60.2006.54 du 1 septembre 2006</w:t>
      </w:r>
    </w:p>
    <w:p>
      <w:r>
        <w:t>IT: TI_GERICHTE 60.2006.54 del 1 settembre 2006</w:t>
      </w:r>
    </w:p>
    <w:p>
      <w:pPr>
        <w:pStyle w:val="Heading2"/>
      </w:pPr>
      <w:r>
        <w:t>Regeste</w:t>
      </w:r>
    </w:p>
    <w:p>
      <w:r>
        <w:t>istanza di indennità per ingiusto procedimento. accusato. spese di patrocinio.</w:t>
      </w:r>
    </w:p>
    <w:p>
      <w:pPr>
        <w:pStyle w:val="Heading2"/>
      </w:pPr>
      <w:r>
        <w:t>Volltext</w:t>
      </w:r>
    </w:p>
    <w:p>
      <w:r>
        <w:t>Tessin Camera dei ricorsi penali 01.09.2006 60.2006.54 Tessin Camera dei ricorsi penali 01.09.2006 60.2006.54 Ticino Camera dei ricorsi penali 01.09.2006 60.2006.54</w:t>
      </w:r>
    </w:p>
    <w:p>
      <w:r>
        <w:t>istanza di indennità per ingiusto procedimento. accusato. spese di patrocinio.</w:t>
      </w:r>
    </w:p>
    <w:p>
      <w:r>
        <w:t>Incarto n. 60.2006.54 Lugano 1 settembre 2006 In nome della Repubblica e Cantone Ticino La Camera dei ricorsi penali del Tribunale d'appello composta dai giudici: Mauro Mini, presidente, Raffaele Guffi, Ivano Ranzanici segretaria: Daniela Rüegg, vicecancelliera sedente per statuire sull’istanza 9/10.2.2006 presentata da IS 1 patr. da: PR 1 tendente ad ottenere, in relazione all'esito del procedimento penale sfociato nel decreto di non luogo a procedere 9.11.2005 emanato dal procuratore pubblico Marco Villa (NLP __________), un'indennità ai sensi degli art. 317 ss. CPP; richiamate le osservazioni 17/20.2.2006 del procuratore pubblico, che comunica di non formulare osservazioni, rimettendosi nel contempo all'equo giudizio di questa Camera; letti ed esaminati gli atti; considerato in fatto ed in diritto che con scritto 14.1.2005 il capo della gendarmeria della polizia cantonale di __________ ha comunicato al procuratore pubblico che il 10.8.2004 il centro sinistri dell'__________ __________ __________ ha chiesto alla gendarmeria di __________ di effettuare alcuni accertamenti con riferimento ad un annuncio di sinistro, chiedendo parimenti di esperire le necessarie indagini per stabilire un possibile comportamento penalmente rilevante, considerato come dagli accertamenti svolti " (...) l'impressione conclusiva è comunque quella che l'effettiva intenzione dei coniugi __________ (IS 1 e __________ __________) con la collaborazione dell'app. __________, fosse di ottenere il risarcimento del danno, facendolo comunque figurare come se avvenuto durante lo stazionamento del veicolo " (AI 1, scritto 14.1.2006 e documentazione allegata); che esperite le informazioni preliminari, con decisione 9.11.2005 il procuratore pubblico ha decretato il non luogo a procedere - tra l'altro - nei confronti di IS 1 per titolo di truffa tentata, rispettivamente mancata, nonché sviamento della giustizia, per insufficienza di prove fondata essenzialmente " (...) sull'impossibilità di procedere ad un esame tecnico dell'interessato paraurti (in quanto già distrutto) alfine di vedersi scientificamente confermare le conclusioni dei due rapporti peritali (AI 1, 3, 24 e 42) ", " (...) sulla mancanza di documentazione e/o altri referti quo alle analisi chimiche eseguite sull'interessato paraurti da __________ __________ presso il suo laboratorio così come da lui esposte nel suo verbale d'interrogatorio del 24.10.2005 (AI 52) segnatamente per quel che concerne la sicura assenza di tracce di vernice e/o la presenza di sole tracce di origine minerale ", " (...) sull'impossibilità di determinare con assoluta certezza se è stata la macchina di IS 1 ad urtare un'altra superficie o l'incontrario (AI 51 e 52) ", nonché " (...) sulla dichiarata impossibilità, perlomeno teorica, da parte di entrambi gli esperti (AI 51 e 52) nel poter categoricamente escludere un possibile urto (anche se difficilmente concepibile) da parte di un altro veicolo con caratteristiche compatibili ai danni constatati nelle fotografie agli atti " (decreto di non luogo a procedere 9.11.2005, p. 4 e 5); che con l’istanza in esame - presentata nel termine di un anno di cui all’art. 320 cpv. 1 CPP - IS 1 chiede che lo Stato della Repubblica e del Cantone Ticino sia condannato a versarle, quale risarcimento del danno sofferto in seguito al procedimento penale, l’importo di CHF 3'654.40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come detto - il diritto di cui agli art. 317 ss. CPP compete all'accusato; che accusato è chiunque nei confronti del quale il procuratore pubblico ha promosso l'accusa (art. 47 cpv. 1 CPP); che lo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(cfr. decisione GIAR 15.7.1994 in re P.F.); che è quindi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1253 ss.);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 che nella fattispecie il procedimento penale si è concluso con un decreto di non luogo a procedere, senza che sia stata promossa l’accusa nei confronti di IS 1; che le informazioni preliminari hanno comportato, oltre agli interrogatori - tra l'altro - di IS 1, del perito e di un testimone (AI 13, AI 51 e AI 52), in particolare un ordine di perquisizione presso la __________ __________ __________ (AI 2), due ordini di perquisizione e sequestro formulati nei confronti di __________ __________ - perito che aveva allestito un rapporto per la __________ __________ __________ (AI 17 e AI 21), un decreto di nomina di perito (AI 32), l'allestimento di un rapporto peritale (AI 42), due visioni atti su richiesta di alcuni patrocinatori delle parti coinvolte (AI 22 e AI 46) e diversi scambi epistolari; che tali circostanze - unitamente alle difficoltà giuridiche di cui alle ipotesi accusatorie, segnatamente con riferimento al reato di tentata, subordinatamente mancata truffa (AI 13, verbale d'interrogatorio 2.3.2005 di IS 1, p. 1) - imponevano, già a questo stadio del procedimento, la presenza di un legale; che IS 1 va quindi ritenuta “ accusata ” ai sensi dell'art. 317 CPP;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7.12.2005 del suo patrocinatore di fiducia, avv. PR 1, di complessivi CHF 3'654.40 [di cui CHF 3'000.-- a titolo di onorario (12 ore a CHF 250.--/ora), CHF 295.-- di spese e CHF 250.40 di IVA (doc. 1.b)]; che la tariffa oraria applicata - CHF 250.--/ora - appare conforme ai principi suesposti; che il dispendio orario esposto, corrisponde certamente all’impiego temporale medio che un avvocato diligente avrebbe profuso, secondo la normale esperienza, nell’esecuzione di un mandato di complessità analoga (REP. 1998 n. 126 nota 4.2), eccetto per quanto concerne l'onorario indicato per l'interrogatorio di data 2.3.2005 presso il Ministero pubblico di __________, che si è protratto dalle ore 9.20 alle ore 10.50 (AI 13); che l'onorario esposto viene pertanto decurtato di 1 ora, per cui è ammesso limitatamente a CHF 2'750; che l'istante postula inoltre la rifusione delle spese di cancelleria, postali e telefoniche pari a CHF 295.--; che, nonostante questa Camera con ordinanza 10.2.2006 abbia (tra l'altro) invitato l'avv. PR 1 a produrre una nota d'onorario dettagliata - questi non ha presentato alcuna distinta delle singole spese sostenute; che nella procedura retta dagli art. 317 ss. CPP, il principio inquisitorio - che peraltro non dispensa la parte dal suo obbligo di collaborare all’accertamento dei fatti, segnatamente dall’onere di provare quanto in sua facoltà (DTF 120 V 357) - trova un’applicazione limitata (decisione TF 1P.602/2003 del 23.2.2004, p. 6); che l’onere della prova incombe infatti all'istante, che deve sostanziare le domande di risarcimento (REP. 1998 n. 126 p. 380 consid. 3); che in concreto l'istante ha prodotto un dettaglio del dispendio orario, omettendo di esporre un dettaglio delle singole spese sostenute (doc. 1.b allegato all'istanza 9/10.2.2006); che nondimeno, come da prassi di questa Camera, anche in assenza del dettaglio della nota professionale, le spese di patrocinio possono essere rifuse per quanto ricostruibili dall’incarto (decisione CRP __________ del 24.2.2006); che di conseguenza, esaminati gli atti, le spese vengono riconosciute in complessivi CHF 86.--, di cui CHF 16.-- inerente lo scritto 5.4.2005 [(AI 28): 3 pagine, CHF 5.-- per ogni pagina originale, compresa la copia per l’incarto e CHF 1.-- per invio/posta A], CHF 10.-- inerente lo scritto 13.5.2005 [(AI 36): 1 pagina, CHF 5.-- per ogni pagina originale, compresa la copia per l’incarto e CHF 5.--/raccomandata], CHF 10.-- per fotocopie (AI 46, richiesta di rilascio fotocopie da cui risulta che sono stati incassati CHF 10.--) e CHF 50.-- per l'apertura dell'incarto; che l’IVA ammonta a CHF 215.55 (calcolata al 7.6% su CHF 2'836.--); che all'istante va pertanto rifuso - a titolo di spese legali - l'importo complessivo di CHF 3'051.55, di cui CHF 2'750.-- a titolo di onorario, CHF 86.-- per le spese e CHF 215.55 di IVA; che l'istante protesta la rifusione delle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pertanto riconosciuto un importo di CHF 250.--, comprendente onorario, spese e IVA; che, alla luce delle suddette considerazioni, a IS 1 va rifuso l’importo complessivo di CHF 3'301.55, di cui CHF 3'051.55 per spese di patrocinio e CHF 250.-- a titolo di ripetibili di questa sede; che interessi di mora non sono pretesi; che la procedura di indennità è gratuita (art. 320 cpv. 5 CPP). Per questi motivi, richiamati gli art. 317 ss. CPP ed ogni altra norma applicabile, pronuncia 1.   L’istanza è parzialmente accolta. Di conseguenza lo Stato della Repubblica e del Cantone Ticino, in relazione al decreto di non luogo a procedere 9.11.2005 emanato dal procuratore pubblico Marco Villa (NLP __________), rifonderà a IS 1, __________, __________, a titolo di indennità giusta gli art. 317 ss. CPP, l’importo di CHF 3'301.55.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