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60.2006.466 vom 20. November 2007</w:t>
      </w:r>
    </w:p>
    <w:p>
      <w:r>
        <w:t>TI Tribunale d'appello, 2007-11-20, IT</w:t>
      </w:r>
    </w:p>
    <w:p>
      <w:r>
        <w:rPr>
          <w:b/>
        </w:rPr>
        <w:t xml:space="preserve">Quelle: </w:t>
      </w:r>
      <w:r>
        <w:t>https://mcp.opencaselaw.ch/entscheid/ti_gerichte_60.2006.466</w:t>
      </w:r>
    </w:p>
    <w:p>
      <w:r>
        <w:t>FR: TI_GERICHTE 60.2006.466 du 20 novembre 2007</w:t>
      </w:r>
    </w:p>
    <w:p>
      <w:r>
        <w:t>IT: TI_GERICHTE 60.2006.466 del 20 novembre 2007</w:t>
      </w:r>
    </w:p>
    <w:p>
      <w:pPr>
        <w:pStyle w:val="Heading2"/>
      </w:pPr>
      <w:r>
        <w:t>Regeste</w:t>
      </w:r>
    </w:p>
    <w:p>
      <w:r>
        <w:t>Istanza di indennità per ingiusto procedimento. spese legali. danno materiale. nesso di causalità naturale ed adeguato. torto morale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PI</w:t>
      </w:r>
    </w:p>
    <w:p>
      <w:r>
        <w:rPr>
          <w:b/>
        </w:rPr>
        <w:t>E. 2</w:t>
      </w:r>
    </w:p>
    <w:p>
      <w:r>
        <w:t>Per la Camera dei ricorsi penali</w:t>
      </w:r>
    </w:p>
    <w:p>
      <w:r>
        <w:t>Il presidente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