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60.2006.452 vom 29. November 2006</w:t>
      </w:r>
    </w:p>
    <w:p>
      <w:r>
        <w:t>TI Tribunale d'appello, 2006-11-29, IT</w:t>
      </w:r>
    </w:p>
    <w:p>
      <w:r>
        <w:rPr>
          <w:b/>
        </w:rPr>
        <w:t xml:space="preserve">Quelle: </w:t>
      </w:r>
      <w:r>
        <w:t>https://mcp.opencaselaw.ch/entscheid/ti_gerichte_60.2006.452</w:t>
      </w:r>
    </w:p>
    <w:p>
      <w:r>
        <w:t>FR: TI_GERICHTE 60.2006.452 du 29 novembre 2006</w:t>
      </w:r>
    </w:p>
    <w:p>
      <w:r>
        <w:t>IT: TI_GERICHTE 60.2006.452 del 29 novembre 2006</w:t>
      </w:r>
    </w:p>
    <w:p>
      <w:pPr>
        <w:pStyle w:val="Heading2"/>
      </w:pPr>
      <w:r>
        <w:t>Regeste</w:t>
      </w:r>
    </w:p>
    <w:p>
      <w:r>
        <w:t>Istanza di ispezione degli atti. commissione tutoria quale istante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Commissione tutoria istante ha fissato un incontro con PI 2. In vista di tale incontro chiede di poter ricevere copia della denuncia/querela presentata dalla ex moglie. Come esposto in entrata, il procuratore pubblico ha preavvisato favorevolmente la richiesta. Il ristretto tempo non ha consentito di interpellare le parti.</w:t>
      </w:r>
    </w:p>
    <w:p>
      <w:r>
        <w:rPr>
          <w:b/>
        </w:rPr>
        <w:t>E. 3</w:t>
      </w:r>
    </w:p>
    <w:p>
      <w:r>
        <w:t>L'art. 27 CPP, in vigore dal 1.1.1996, che ha precisato e completato il previgente art. 8 vCPP, con riferimento anche alla giurisprudenza del Tribunale federale (DTF 110 Ia 83; 95 I 108), stabilisce che: "Oltre ai casi previsti dal presente codice, la Camera dei ricorsi penali può permettere l'ispezione degli atti di un processo e l'estrazione di copie a chi giustifica un interesse giuridico legittimo che prevale sui diritti personali delle persone implicate nel processo, segnatamente su quelli delle parti, del denunciante, dei testimoni e dei periti. La Camera dei ricorsi penali fissa le modalità dell'ispezione."</w:t>
      </w:r>
    </w:p>
    <w:p>
      <w:r>
        <w:rPr>
          <w:b/>
        </w:rPr>
        <w:t>E. 4</w:t>
      </w:r>
    </w:p>
    <w:p>
      <w:r>
        <w:t>Nella fattispecie sono chiaramente realizzati i presupposti di legge, stante il chiaro e legittimo interesse della IS 1 istante, che con l'adozione della Legge sull'organizzazione e la procedura in materia di tutele e curatele (LOPTC) dell'8.3.1999, entrata in vigore l'1.1.2001, ha assunto le competenze in materia di tutela e curatela precedentemente spettanti alle Delegazioni tutorie comunali. Trattasi infatti dell'autorità competente, giusta gli art. 275, 311 e 315 CC e 2 LOPTC, ad adottare provvedimenti a tutela dei figli, segnatamente in materia di autorità e di custodia parentale, e a regolare le loro relazioni personali con i genitori. La copia della  querela/denuncia (inc. MP __________) appare utile oltre che necessaria per permettere alla IS 1 di svolgere il suo compito con piena cognizione di causa.</w:t>
      </w:r>
    </w:p>
    <w:p>
      <w:r>
        <w:rPr>
          <w:b/>
        </w:rPr>
        <w:t>E. 5</w:t>
      </w:r>
    </w:p>
    <w:p>
      <w:r>
        <w:t>L’istanza è accolta. La querela/denuncia sarà trasmessa in allegato alla presente decisione.</w:t>
      </w:r>
    </w:p>
    <w:p>
      <w:r>
        <w:rPr>
          <w:b/>
        </w:rPr>
        <w:t>E. 6</w:t>
      </w:r>
    </w:p>
    <w:p>
      <w:r>
        <w:t>Considerato che l’istante è un’autorità, si giustifica di prescindere dal prelievo di tassa di giustizia e spese. Per questi motivi, visto l'art. 27 CPP e ogni altra norma applicabile, pronuncia 1.   L'istanza è accolta ai sensi dei considerandi. 2.   Non si prelevano tassa di giustizia e spese. 3.   Intimazione: terzi implicati 1. PI 1 2. PI 2 Per la Camera dei ricorsi penali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