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60.2006.30 vom 22. Februar 2006</w:t>
      </w:r>
    </w:p>
    <w:p>
      <w:r>
        <w:t>TI Tribunale d'appello, 2006-02-22, IT</w:t>
      </w:r>
    </w:p>
    <w:p>
      <w:r>
        <w:rPr>
          <w:b/>
        </w:rPr>
        <w:t xml:space="preserve">Quelle: </w:t>
      </w:r>
      <w:r>
        <w:t>https://mcp.opencaselaw.ch/entscheid/ti_gerichte_60.2006.30</w:t>
      </w:r>
    </w:p>
    <w:p>
      <w:r>
        <w:t>FR: TI_GERICHTE 60.2006.30 du 22 février 2006</w:t>
      </w:r>
    </w:p>
    <w:p>
      <w:r>
        <w:t>IT: TI_GERICHTE 60.2006.30 del 22 febbraio 2006</w:t>
      </w:r>
    </w:p>
    <w:p>
      <w:pPr>
        <w:pStyle w:val="Heading2"/>
      </w:pPr>
      <w:r>
        <w:t>Regeste</w:t>
      </w:r>
    </w:p>
    <w:p>
      <w:r>
        <w:t>istanza di ispezione degli atti. parte in causa civile quale istante.</w:t>
      </w:r>
    </w:p>
    <w:p>
      <w:pPr>
        <w:pStyle w:val="Heading2"/>
      </w:pPr>
      <w:r>
        <w:t>Volltext</w:t>
      </w:r>
    </w:p>
    <w:p>
      <w:r>
        <w:t>Tessin Camera dei ricorsi penali 22.02.2006 60.2006.30 Tessin Camera dei ricorsi penali 22.02.2006 60.2006.30 Ticino Camera dei ricorsi penali 22.02.2006 60.2006.30</w:t>
      </w:r>
    </w:p>
    <w:p>
      <w:r>
        <w:t>istanza di ispezione degli atti. parte in causa civile quale istante.</w:t>
      </w:r>
    </w:p>
    <w:p>
      <w:r>
        <w:t>Incarto n. 60.2006.30 Lugano 22 febbraio 2006 In nome della Repubblica e Cantone Ticino La Camera dei ricorsi penali del Tribunale d'appello composta dai giudici: Mauro Mini, presidente, Raffaele Guffi, Ivano Ranzanici segretario: Rocco Filippini, vicecancelliere sedente per statuire sull’istanza 23/25.1.2006 presentata dalla IS 1 patr. da: PR 1 tendente ad ottenere l’accesso agli atti del procedimento penale a carico di PI 2, attualmente pendente presso il Tribunale penale cantonale (inc. MP __________, inc. TPC __________); premesso che con scritto 26.1.2006 l’istante ha trasmesso a questa Camera copia dell’azione civile promossa nei suoi confronti ed in relazione alla quale chiede l’accesso agli atti; richiamati gli scritti 26.1.2006 del TPC e 2/6.2.2006 del patrocinatore di PI 2, che comunicano di rimettersi al prudente giudizio di questa Camera; richiamate inoltre le osservazioni 1/2.2.2006 del procuratore pubblico Giovan Maria Tattarletti, che non si oppone alla richiesta dell’istante; letti ed esaminati gli atti; considerato in fatto ed in diritto 1. A seguito di una spontanea autosegnalazione di PI 2, il Ministero pubblico ha aperto a suo carico un procedimento penale per reati patrimoniali commessi a danno della cassa malati __________ (inc. MP __________). Il procuratore pubblico ha già emanato l’atto d’accusa ed il procedimento è attualmente pendente presso il TPC (inc. __________). 2. In relazione ai medesimi fatti, la __________ ha promosso una causa civile in responsabilità nei confronti della società qui istante. Per questo motivo, onde tutelarsi adeguatamente in sede civile, essa chiede di poter accedere agli atti del procedimento penale. 3. Come esposto in entrata, il procuratore pubblico ha dato il proprio consenso, mentre che il TPC e PI 2 si sono rimessi al prudente giudizio di questa Camera. 4. L'art. 27 CPP, in vigore dal 1.1.1996, che ha precisato e completato il previgente art. 8 vCPP, con riferimento anche alla giurisprudenza del Tribunale federale (DTF 110 Ia 83; 95 I 108), stabilisce che: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5. Nel presente caso l’istante ha certamente un interesse giuridico legittimo ad esaminare gli atti dell’incarto penale relativo a delle malversazioni commesse da PI 2 ma in relazione alle quali è chiamato in causa civilmente. Non ci sono inoltre contrari interessi giuridici che si oppongono a tale accesso agli atti, che potrà essere utile anche al giudice __________ chiamato a dirimere la vertenza civile. 6. L’istanza è accolta. L’accesso agli atti potrà avvenire presso il TPC. Il patrocinatore dell’istante dovrà previamente concordare i tempi ed i modi di accesso agli atti con la cancelleria penale, compatibilmente con gli impegni di quest’ultima. 7. La tassa di giustizia e le spese sono poste a carico dell’istante, che le ha occasionate. Per questi motivi, visti gli art. 27 CPP, 39 lit. f LTG ed ogni altra norma applicabile, pronuncia 1.   L’istanza è accolta ai sensi dei considerandi. 2.   La tassa di giustizia di CHF 100.-- e le spese di CHF 50.--, per complessivi CHF 150.-- (centocinquanta), sono poste a carico di IS 1, __________. 3.   Intimazione: terzi implicati 1. PI 1 2. PI 2 2 patr. da: PR 2 3. PI 3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