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60.2006.269 vom 15. September 2006</w:t>
      </w:r>
    </w:p>
    <w:p>
      <w:r>
        <w:t>TI Tribunale d'appello, 2006-09-15, IT</w:t>
      </w:r>
    </w:p>
    <w:p>
      <w:r>
        <w:rPr>
          <w:b/>
        </w:rPr>
        <w:t xml:space="preserve">Quelle: </w:t>
      </w:r>
      <w:r>
        <w:t>https://mcp.opencaselaw.ch/entscheid/ti_gerichte_60.2006.269</w:t>
      </w:r>
    </w:p>
    <w:p>
      <w:r>
        <w:t>FR: TI_GERICHTE 60.2006.269 du 15 septembre 2006</w:t>
      </w:r>
    </w:p>
    <w:p>
      <w:r>
        <w:t>IT: TI_GERICHTE 60.2006.269 del 15 settembre 2006</w:t>
      </w:r>
    </w:p>
    <w:p>
      <w:pPr>
        <w:pStyle w:val="Heading2"/>
      </w:pPr>
      <w:r>
        <w:t>Regeste</w:t>
      </w:r>
    </w:p>
    <w:p>
      <w:r>
        <w:t>istanza di ispezione degli atti. pretura quale istante.</w:t>
      </w:r>
    </w:p>
    <w:p>
      <w:pPr>
        <w:pStyle w:val="Heading2"/>
      </w:pPr>
      <w:r>
        <w:t>Volltext</w:t>
      </w:r>
    </w:p>
    <w:p>
      <w:r>
        <w:t>Tessin Camera dei ricorsi penali 15.09.2006 60.2006.269 Tessin Camera dei ricorsi penali 15.09.2006 60.2006.269 Ticino Camera dei ricorsi penali 15.09.2006 60.2006.269</w:t>
      </w:r>
    </w:p>
    <w:p>
      <w:r>
        <w:t>istanza di ispezione degli atti. pretura quale istante.</w:t>
      </w:r>
    </w:p>
    <w:p>
      <w:r>
        <w:t>Incarto n. 60.2006.269 Lugano 15 settembre 2006 In nome della Repubblica e Cantone Ticino La Camera dei ricorsi penali del Tribunale d'appello composta dai giudici: Mauro Mini, presidente, Raffaele Guffi, Ivano Ranzanici segretaria: Alessandra Mondada, vicecancelliera sedente per statuire sull’istanza 19/21.7.2006 presentata dalla IS 1 tendente ad ottenere il richiamo in sede civile dell’incarto penale NLP __________; richiamato lo scritto 27/28.7.2006 del patrocinatore di PI 4, con il quale comunica di non avere particolari osservazioni da formulare e si rimette alla decisione di questa Camera; richiamato il preavviso favorevole del procuratore pubblico __________ del 31.7/3.8.2006; richiamate le osservazioni 7/8.8.2006 del patrocinatore di PI 3, che evidenzia motivi che giustificano la richiesta; preso atto che PI 2, interpellato, non ha presentato osservazioni; letti ed esaminati gli atti; considerato in fatto ed in diritto 1 .   Tra PI 3 e PI 4 è pendente una causa civile ordinaria presso la Pretura istante (inc. OA.__________). In relazione alla deposizione resa da PI 2 è stata presentata al Ministero pubblico una denuncia per falsa testimonianza. Il procedimento si è concluso con un decreto di non luogo a procedere del 3.4.2006 (NLP __________). La successiva istanza di promozione dell’accusa è stata recentemente respinta da questa Camera (decisione 11.9.2006, inc. CRP __________). 2 .   Con la presente istanza, la Pretura chiede la trasmissione dell’incarto penale relativo alla denuncia per falsa testimonianza. Le parti hanno dato il loro consenso o si sono rimesse al giudizio di questa Camera. 3 .   Giusta l’art. 27 CPP – in vigore dall’1.1.1996, che ha precisato e completato il previgente art. 8 vCPP, con riferimento anche alla giurisprudenza del Tribunale federale (DTF 110 Ia 83 e 95 I 108) – "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 4 .   Come ricordato dalla decisione di principio del __________ di questa Camera (inc. CRP __________), in caso di richiesta da parte di autorità giudiziarie per ottenere documenti di un incarto penale, la giurisprudenza ammette la richiesta se: -    si riferisce a procedimenti ancora pendenti presso l'autorità richiedente; -    è compatibile con il codice di rito applicabile a quel procedimento; -    è formulata dal titolare dell’autorità giudiziaria richiedente. Anche in questi casi, incombe comunque a questa Camera verificare se eventuali diritti di terzi, non simultaneamente parti al procedimento penale e parti al procedimento civile, si oppongano al richiamo atti e richiedano un limitato accesso agli atti. 5 .   Nel presente caso è pacificamente data una connessione tra la causa civile ed il procedimento penale: quest’ultimo si riferisce ad una deposizione resa nell’incarto civile presso la Pretura richiedente. 6 .   L’istanza è accolta. L’incarto è inviato alla Pretura direttamente da questa Camera. 7 .   La tassa di giustizia e le spese sono poste a carico della Pretura istante, che a sua volta le addosserà alle parti in base ai principi del CPC. Per tutti questi motivi, visti l’art. 27 CPP, la LTG ed ogni altra norma applicabile, pronuncia 1.   L’istanza è accolta ai sensi dei considerandi. 2. La tassa di giustizia di CHF 200.-- e le spese di CHF 50.--, per complessivi CHF 250.-- (duecentocinquanta), sono poste a carico della IS 1, __________, che le addosserà alle parti. 3.   Intimazione: terzi implicati 1. PI 1 2. PI 2 3. PI 3 3 patr. da: PR 1 4. PI 4 patr. da: PR 2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