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60.2006.152 vom 12. Mai 2006</w:t>
      </w:r>
    </w:p>
    <w:p>
      <w:r>
        <w:t>TI Tribunale d'appello, 2006-05-12, IT</w:t>
      </w:r>
    </w:p>
    <w:p>
      <w:r>
        <w:rPr>
          <w:b/>
        </w:rPr>
        <w:t xml:space="preserve">Quelle: </w:t>
      </w:r>
      <w:r>
        <w:t>https://mcp.opencaselaw.ch/entscheid/ti_gerichte_60.2006.152</w:t>
      </w:r>
    </w:p>
    <w:p>
      <w:r>
        <w:t>FR: TI_GERICHTE 60.2006.152 du 12 mai 2006</w:t>
      </w:r>
    </w:p>
    <w:p>
      <w:r>
        <w:t>IT: TI_GERICHTE 60.2006.152 del 12 maggio 2006</w:t>
      </w:r>
    </w:p>
    <w:p>
      <w:pPr>
        <w:pStyle w:val="Heading2"/>
      </w:pPr>
      <w:r>
        <w:t>Regeste</w:t>
      </w:r>
    </w:p>
    <w:p>
      <w:r>
        <w:t>istanza di ispezione degli atti. denunciante quale istante.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Con la presente richiesta, la società istante di protezione giuridica chiede, in nome e per conto di __________, copia della denuncia a suo tempo presentata, per la pratica di responsabilità civile.</w:t>
      </w:r>
    </w:p>
    <w:p>
      <w:r>
        <w:rPr>
          <w:b/>
        </w:rPr>
        <w:t>E. 3</w:t>
      </w:r>
    </w:p>
    <w:p>
      <w:r>
        <w:t>L’art. 27 CPP in vigore dall’1.1.1996, che ha precisato e completato il previgente art. 8 vCPP, con riferimento anche alla giurisprudenza del Tribunale federale (cfr. DTF 110 Ia 83; 95 I 108), stabilisce che: “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.”</w:t>
      </w:r>
    </w:p>
    <w:p>
      <w:r>
        <w:rPr>
          <w:b/>
        </w:rPr>
        <w:t>E. 4</w:t>
      </w:r>
    </w:p>
    <w:p>
      <w:r>
        <w:t>Pur essendo stato __________ __________ parte al procedimento, nel frattempo terminato, deve seguire la procedura prevista dall’art. 27 CPP e dimostrare un interesse giuridico legittimo. Come ricordano i lavori preparatori, l’art. 27 CPP si applica anche alle richieste di ispezione degli atti delle parti, dopo che il procedimento è terminato (Messaggio CdS dell’11.3.1987, ad art. 8 p. 10). Come ricordano i successivi lavori preparatori, per le ex parti, dopo la conclusione del procedimento, l’interesse giuridico legittimo è presunto (Rapporto della Commissione speciale dell’8.11.1994 p. 19).</w:t>
      </w:r>
    </w:p>
    <w:p>
      <w:r>
        <w:rPr>
          <w:b/>
        </w:rPr>
        <w:t>E. 5</w:t>
      </w:r>
    </w:p>
    <w:p>
      <w:r>
        <w:t>Nel presente caso l’interesse giuridico legittimo è dato, considerato come la denuncia sia stata presentata in un’unica copia direttamente da __________ __________, facendo capo ad un formulario prestampato, e ritenuto che il procedimento penale è stato concluso senza informazioni preliminari o atti istruttori.</w:t>
      </w:r>
    </w:p>
    <w:p>
      <w:r>
        <w:rPr>
          <w:b/>
        </w:rPr>
        <w:t>E. 6</w:t>
      </w:r>
    </w:p>
    <w:p>
      <w:r>
        <w:t>L’istanza è pertanto accolta. Copia della denuncia viene allegata alla presente decisione.</w:t>
      </w:r>
    </w:p>
    <w:p>
      <w:r>
        <w:rPr>
          <w:b/>
        </w:rPr>
        <w:t>E. 7</w:t>
      </w:r>
    </w:p>
    <w:p>
      <w:r>
        <w:t>Tassa di giustizia e spese sono poste a carico di chi le ha originate: le spese sono contenute al minimo. Per questi motivi, visto l’art. 27 CPP, sulle spese l’art. 39 lit. f LTG ed ogni altra norma applicabile, pronuncia 1.   L’istanza è accolta ai sensi dei considerandi. 2.   La tassa di giustizia di CHF 100.-- e le spese di CHF 30.--, per complessivi CHF 130.-- (centotrenta), sono poste a carico della IS 1, __________. 3.   Intimazione: terzi implicati PI 1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