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60.2006.144 vom 21. Juni 2006</w:t>
      </w:r>
    </w:p>
    <w:p>
      <w:r>
        <w:t>TI Tribunale d'appello, 2006-06-21, IT</w:t>
      </w:r>
    </w:p>
    <w:p>
      <w:r>
        <w:rPr>
          <w:b/>
        </w:rPr>
        <w:t xml:space="preserve">Quelle: </w:t>
      </w:r>
      <w:r>
        <w:t>https://mcp.opencaselaw.ch/entscheid/ti_gerichte_60.2006.144</w:t>
      </w:r>
    </w:p>
    <w:p>
      <w:r>
        <w:t>FR: TI_GERICHTE 60.2006.144 du 21 juin 2006</w:t>
      </w:r>
    </w:p>
    <w:p>
      <w:r>
        <w:t>IT: TI_GERICHTE 60.2006.144 del 21 giugno 2006</w:t>
      </w:r>
    </w:p>
    <w:p>
      <w:pPr>
        <w:pStyle w:val="Heading2"/>
      </w:pPr>
      <w:r>
        <w:t>Regeste</w:t>
      </w:r>
    </w:p>
    <w:p>
      <w:r>
        <w:t>istanza di ispezione degli atti. pretura quale istante.</w:t>
      </w:r>
    </w:p>
    <w:p>
      <w:pPr>
        <w:pStyle w:val="Heading2"/>
      </w:pPr>
      <w:r>
        <w:t>Volltext</w:t>
      </w:r>
    </w:p>
    <w:p>
      <w:r>
        <w:t>Tessin Camera dei ricorsi penali 21.06.2006 60.2006.144 Tessin Camera dei ricorsi penali 21.06.2006 60.2006.144 Ticino Camera dei ricorsi penali 21.06.2006 60.2006.144</w:t>
      </w:r>
    </w:p>
    <w:p>
      <w:r>
        <w:t>istanza di ispezione degli atti. pretura quale istante.</w:t>
      </w:r>
    </w:p>
    <w:p>
      <w:r>
        <w:t>Incarto n. 60.2006.144 Lugano 21 giugno 2006 In nome della Repubblica e Cantone Ticino La Camera dei ricorsi penali del Tribunale d'appello composta dai giudici: Mauro Mini, presidente, Raffaele Guffi, Andrea Pedroli (in sostituzione di Ivano Ranzanici, assente) segretaria: Alessandra Mondada, vicecancelliera sedente per statuire sull’istanza 24/25.4.2006 presentata dalla IS 1 tendente ad ottenere il richiamo in sede civile dell’incarto penale MP __________; richiamate le osservazioni 27.4.2006 del procuratore pubblico PI 1, con le quali ha formulato il proprio preavviso favorevole; ritenuto che PI 2 non ha presentato osservazioni; letti ed esaminati gli atti; considerato in fatto ed in diritto 1 .   Presso la Pretura istante è pendente un’azione civile ordinaria (inc. __________) nella quale __________ ha convenuto la banca __________ in relazione anche all’operato di PI 2, ex dipendente della banca. Il richiamo dell’incarto penale in sede civile è stato ammesso dal pretore, come risulta dal fatto stesso della presentazione della richiesta. 2 .   Nelle proprie osservazioni il procuratore pubblico ha evidenziato il nesso tra l’azione civile ed il procedimento penale, dando preavviso favorevole. PI 2 non ha presentato osservazioni. 3 .  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 .   Come ricordato dalla decisione di principio del __________ di questa Camera (inc. CRP __________), in caso di richiesta da parte di autorità giudiziarie per ottenere documenti di un incarto penale, la giurisprudenza ammette la richiesta se: -    si riferisce a procedimenti ancora pendenti presso l'autorità richiedente; -    è compatibile con il codice di rito applicabile a quel procedimento; -   è formulata dal titolare dell’autorità giudiziaria richiedente. 5 .   Nel presente caso, è data certamente una connessione tra l’azione civile ed il procedimento penale richiamato, di modo che c’è un legittimo interesse giuridico che giustifica il richiamo. 6 .   Come evidenziato dal procuratore pubblico, l’incarto penale non riguarda unicamente l’attore, ma anche altre fattispecie. Per tutelare i legittimi interessi di terzi, l’incarto è trasmesso alla Pretura, la quale lo metterà a disposizione delle parti per consultazione unicamente dei loro legali presso gli uffici della Pretura. Le parti potranno chiedere l’acquisizione agli atti dell’incarto civile di verbali e/o documenti, che saranno acquisiti direttamente dalla Pretura, previa verifica da parte del giudice civile della loro pertinenza con la vertenza civile. Alle parti non è consentito di estrarre copie degli atti del procedimento penale, né dall’incarto penale, né successivamente dall’incarto civile. 7 .   L’istanza è accolta alle condizioni surriferite (in particolare punto 6). L’incarto è trasmesso direttamente da questa Camera alla Pretura istante, e dovrà poi essere ritornato direttamente al Ministero pubblico, una volta che le parti lo avranno consultato, in tempi ragionevoli. 8 .   La tassa di giustizia e le spese sono poste a carico della Pretura istante, che a sua volta le addosserà alle parti in base alle norme del CPC. Per tutti questi motivi, visti gli art. 27 CPP, 39 lit. f LTG ed ogni altra norma applicabile, pronuncia 1.   L’istanza è accolta ai sensi dei considerandi. 2.   La tassa di giustizia di CHF 200.-- e le spese di CHF 50.--, per complessivi CHF 250.-- (duecentocinquanta), sono poste a carico della IS 1, __________, che le addosserà alle parti. 3.   Intimazione: terzi implicati 1. PI 1 2. PI 2 patr. da: PR 1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