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60.2005.412 vom 13. Januar 2006</w:t>
      </w:r>
    </w:p>
    <w:p>
      <w:r>
        <w:t>TI Tribunale d'appello, 2006-01-13, IT</w:t>
      </w:r>
    </w:p>
    <w:p>
      <w:r>
        <w:rPr>
          <w:b/>
        </w:rPr>
        <w:t xml:space="preserve">Quelle: </w:t>
      </w:r>
      <w:r>
        <w:t>https://mcp.opencaselaw.ch/entscheid/ti_gerichte_60.2005.412</w:t>
      </w:r>
    </w:p>
    <w:p>
      <w:r>
        <w:t>FR: TI_GERICHTE 60.2005.412 du 13 janvier 2006</w:t>
      </w:r>
    </w:p>
    <w:p>
      <w:r>
        <w:t>IT: TI_GERICHTE 60.2005.412 del 13 gennaio 2006</w:t>
      </w:r>
    </w:p>
    <w:p>
      <w:pPr>
        <w:pStyle w:val="Heading2"/>
      </w:pPr>
      <w:r>
        <w:t>Regeste</w:t>
      </w:r>
    </w:p>
    <w:p>
      <w:r>
        <w:t>istanza di ispezione degli atti. pretura quale istante.</w:t>
      </w:r>
    </w:p>
    <w:p>
      <w:pPr>
        <w:pStyle w:val="Heading2"/>
      </w:pPr>
      <w:r>
        <w:t>Volltext</w:t>
      </w:r>
    </w:p>
    <w:p>
      <w:r>
        <w:t>Tessin Camera dei ricorsi penali 13.01.2006 60.2005.412 Tessin Camera dei ricorsi penali 13.01.2006 60.2005.412 Ticino Camera dei ricorsi penali 13.01.2006 60.2005.412</w:t>
      </w:r>
    </w:p>
    <w:p>
      <w:r>
        <w:t>istanza di ispezione degli atti. pretura quale istante.</w:t>
      </w:r>
    </w:p>
    <w:p>
      <w:r>
        <w:t>Incarto n. 60.2005.412 Lugano 13 gennaio 2006 In nome della Repubblica e Cantone Ticino La Camera dei ricorsi penali del Tribunale d'appello composta dai giudici: Mauro Mini, presidente, Raffaele Guffi, Ivano Ranzanici segretaria: Daniela Rüegg, vicecancelliera sedente per statuire sull’istanza 30.11/1.12.2005 presentata dalla IS 1 tendente ad ottenere il richiamo degli incarti penali esistenti relativi ai rapporti tra PI 2 e PI 3 con riferimento alla __________ __________; richiamate le osservazioni 2/5.12.2005 del procuratore pubblico __________, che comunica il proprio nulla osta per l’incarto MP.__________, conclusosi con decisione di NLP.__________; richiamate le osservazioni 7/9.12.2005 del patrocinatore di PI 2, che aderisce alla richiesta; richiamate le osservazioni 12.12.2005 del procuratore pubblico PI 4, che comunica il proprio nulla osta per gli incarti MP.__________ e MP.__________, il primo conclusosi con decisione di NLP.__________; rilevato che PI 3 non ha presentato osservazioni; letti ed esaminati gli atti; considerato in fatto ed in diritto 1. Presso la Pretura istante è pendente una procedura speciale (inc. DI.__________) relativa alla concessione del diritto di firma per la ditta __________ __________. In questo contesto, il pretore ha ammesso il richiamo dal Ministero pubblico e da questa Camera di tutti gli incarti penali esistenti relativi ai rapporti tra PI 2 e PI 3 relativi alla __________ __________ __________. Per questo la presentazione della relativa istanza. 2. Come esposto in entrata, nessuno si è opposto ai richiami dei documenti. Nel frattempo, questa Camera ha deciso due istanze di promozione dell’accusa precedentemente pendenti (decisioni del 13.12.2005, inc. __________ e __________). 3 .   Giusta l’art. 27 CPP – in vigore dall’1.1.1996, che ha precisato e completato il previgente art. 8 vCPP, con riferimento anche alla giurisprudenza del Tribunale federale (DTF 110 Ia 83 e 95 I 108) –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 . Come ricordato dalla decisione di principio del __________ di questa Camera (inc. CRP __________), in caso di richiesta da parte di autorità giudiziarie per ottenere documenti di un incarto penale, la giurisprudenza ammette la richiesta se: -    si riferisce a procedimenti ancora pendenti presso l'autorità richiedente; -    è compatibile con il codice di rito applicabile a quel procedimento; -    è formulata dal titolare dell’autorità giudiziaria richiedente. Anche in questi casi, incombe comunque a questa Camera verificare se eventuali diritti di terzi, non simultaneamente parti al procedimento penale e parti al procedimento civile, si oppongano al richiamo atti e richiedano un limitato accesso agli atti. 5. Nel presente caso è certamente data una connessione tra la causa civile ed i procedimenti penali conclusi o pendenti. È dato pertanto un interesse giuridico legittimo. 6. L’istanza è pertanto accolta. Le decisioni 13.12.2005 inc. __________ e __________ saranno direttamente allegate alla presente decisione: gli incarti penali del MP menzionati nella presente decisione saranno consultabili presso il Ministero pubblico, previo appuntamento con i rispettivi procuratori pubblici. 7. La tassa di giustizia e le spese sono poste a carico della Pretura istante, che a sua volta le addosserà alle parti in base ai principi del CPC. Per tutti questi motivi, visti l’art. 27 CPP, la LTG ed ogni altra norma applicabile, pronuncia 1.   L’istanza è accolta ai sensi dei considerandi. 2.   La tassa di giustizia di CHF 200.-- e le spese di CHF 50.--, per complessivi CHF 250.-- (duecentocinquanta), sono poste a carico della IS 1, che le addosserà alle parti. 3.   Intimazione: terzi implicati 1. PI 1 2. PI 2 2 patr. da: PR 1 3. PI 3 3 patr. da: PR 2 4. PI 4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