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60.2005.287 vom 22. September 2005</w:t>
      </w:r>
    </w:p>
    <w:p>
      <w:r>
        <w:t>TI Tribunale d'appello, 2005-09-22, IT</w:t>
      </w:r>
    </w:p>
    <w:p>
      <w:r>
        <w:rPr>
          <w:b/>
        </w:rPr>
        <w:t xml:space="preserve">Quelle: </w:t>
      </w:r>
      <w:r>
        <w:t>https://mcp.opencaselaw.ch/entscheid/ti_gerichte_60.2005.287</w:t>
      </w:r>
    </w:p>
    <w:p>
      <w:r>
        <w:t>FR: TI_GERICHTE 60.2005.287 du 22 septembre 2005</w:t>
      </w:r>
    </w:p>
    <w:p>
      <w:r>
        <w:t>IT: TI_GERICHTE 60.2005.287 del 22 settembre 2005</w:t>
      </w:r>
    </w:p>
    <w:p>
      <w:pPr>
        <w:pStyle w:val="Heading2"/>
      </w:pPr>
      <w:r>
        <w:t>Erwägungen</w:t>
      </w:r>
    </w:p>
    <w:p>
      <w:r>
        <w:rPr>
          <w:b/>
        </w:rPr>
        <w:t>E. 1</w:t>
      </w:r>
    </w:p>
    <w:p>
      <w:r>
        <w:t>.   1.1. 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1.2.1</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1.2.2</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vCPP; R. HAUSER / E. SCHWERI / K. HARTMANN, Schweizerisches Strafprozessrecht, 6. ed., Basilea 2005, § 40 n. 11 e 16; G. PIQUEREZ, Procédure pénale suisse, Zurigo 2000, n. 1259 ss.; B. CORBOZ, Le droit constitutionnel à l'assistance judiciaire, in SJ 2003 II p. 67 ss.).</w:t>
      </w:r>
    </w:p>
    <w:p>
      <w:r>
        <w:rPr>
          <w:b/>
        </w:rPr>
        <w:t>E. 1.3</w:t>
      </w:r>
    </w:p>
    <w:p>
      <w:r>
        <w:t>Secondo il Tribunale federale anche la parte lesa può di principio invocare l’art. 29 cpv. 3 CP nell’ambito di un procedimento penale (decisione TF 1P.427/2002 del 4.6.2003 e riferimenti). Occorre verificare in ogni singolo caso se i presupposti previsti da questa disposizione sono adempiuti: secondo la prassi costante l’assistenza giudiziaria per una parte lesa richiede l’adempimento di tre presupposti cumulativi, segnatamente l’indigenza del richiedente, la sua posizione di parte con probabile esito positivo (“ Nichtaussichtslosigkeit seines Parteistand- punktes ”) rispettivamente che le sue pretese non siano sprovviste di fondamento e, infine, la necessità di una protezione giuridica che legittima la designazione di un avvocato (decisione TF 1P.427/2002 del 4.6.2003 e riferimenti; DTF 123 I 147 e riferimenti). Appare pertanto che per quanto concerne la posizione della parte lesa occorre prendere in considerazione il cosiddetto fumus boni juris - ossia la probabilità di esito positivo nella causa - che di principio nei processi penali non viene esaminato (cfr. rapporto n. 5123 del 17.4.2002 sulla Lag, p. 1). La legge cantonale ticinese prevede alla disposizione di cui all’art. 71 CPP che la parte civile può avvalersi in ogni stadio della procedura dell’assistenza di un patrocinatore. Inoltre, il beneficio dell’assistenza giudiziaria è concesso, a chi giustifica di non essere in grado di sopperire alle spese del processo, dal giudice dell’istruzione e dell’arresto; ha effetto a partire dal momento della presentazione della domanda ed è commisurato alla situazione economica della persona richiedente e può estendersi alla dispensa, totale o parziale, dal pagamento della tassa di giustizia e delle spese; all’anticipazione, totale o parziale, da parte dello Stato delle spese di prova cui è ammessa la persona richiedente e all’ammissione, totale o parziale, al gratuito patrocinio (art. 31 Lag). Questa disposizione corrisponde all’art. 73 cpv. 2 vCPP: la nuova disposizione precisa soltanto che il beneficio del gratuito patrocinio esplica i suoi effetti dalla presentazione della domanda (rapporto sul messaggio n. 5123 del 17.4.2002 sulla Lag, ad art. 31). Il concetto di “non essere in grado di sopperire alle spese del processo” coincide con quello relativo all’accusato (M. RUSCA / E. SALMINA / C. VERDA, op. cit., n. 1 ad art. 73 vCPP; cfr. anche n. 9 ad art. 52 vCPP).</w:t>
      </w:r>
    </w:p>
    <w:p>
      <w:r>
        <w:rPr>
          <w:b/>
        </w:rPr>
        <w:t>E. 2</w:t>
      </w:r>
    </w:p>
    <w:p>
      <w:r>
        <w:t>Come esposto, sono in atto due procedimenti penali pendenti nella fase delle informazioni preliminari concernenti RI 1, i cui incarti sono attualmente presso la polizia (cfr. osservazioni SPP 6.9.2005). Il sostituto procuratore pubblico rileva che nell’ambito del primo procedimento RI 1 avrebbe assunto la veste di querelata, avendo __________ __________ sporto querela nei suoi confronti per titolo di vie di fatto (art. 126 cpv. 1 CP) “ (...) in relazione ad un episodio asseritamente avvenuto il __________, allorché ” la stessa “ (...) avrebbe sferrato un ceffone al querelante ” (osservazioni SPP 6.9.2005). Osserva al proposito che “ a non averne dubbio, l’eventuale reato che si può oggi ipotizzare a carico della querelante è un cosiddetto “Bagatelldelikt”, in presenza del quale la consolidata prassi ” della Camera dei ricorsi penali “ (...) non concede l’assistenza giudiziaria “ (osservazioni SPP 6.9.2005). Per quanto concerne, per contro, il secondo procedimento penale, il magistrato inquirente evidenzia che RI 1 riveste il ruolo di querelante, avendo la stessa querelato __________ __________ per l’ipotesi di reato di minaccia (art. 180 cpv. 1 CP), osservando in ogni modo che “ anche in questo caso la fattispecie non impone accresciute difficoltà fattuali o giuridiche tali da imporre la presenza di un difensore d’ufficio ” (osservazioni SPP 6.9.2005). Ora, nei casi in cui la verosimile aspettativa di pena è di poco conto - come emerge dalle osservazioni 6.9.2005 del sostituto procuratore pubblico e come già rilevato in precedenza dal Ministero pubbilico (AI 4, inc. GIAR __________) - si devono esaminare l’eventuale complessità della procedura e le possibili difficoltà dell’interessato al proposito. Tenuto conto delle considerazioni del magistrato inquirente, non appare che i procedimenti in corso in cui RI 1 riveste il ruolo di querelante, rispettivamente di querelata, presentino difficoltà particolari di fatto e non sembrano nemmeno imporre approfondimenti specifici dal profilo giuridico. La ricorrente del resto nemmeno lo sostiene. Essa, infatti, afferma soltanto che sarebbe costretta a saldare un debito “ (...) che dovrebbe pagare il signor __________, il quale non fa assolutamente niente per restituirmi il denaro che gli ho prestato, precisando che mi è stato storto sotto minaccia, per questo motivo ho bisogno dell’aiuto indispensabile di un avvocato ” (ricorso 1/2.9.2005). Per il che, si deve concludere che la ricorrente appare in grado di spiegare le sue ragioni sia in veste di querelante, sia in veste di querelata anche senza l’ausilio di un patrocinatore, non essendo impedita in questo modo di difendere efficacemente i suoi interessi. Non si impone pertanto la designazione di un difensore e quindi neppure la concessione del gratuito patrocinio, gli interessi della ricorrente non essendo colpiti in misura importante ed entrambi i casi non presentando difficoltà tali da rendere necessaria l’assistenza di un avvocato. È quindi superfluo l’esame della situazione economica.</w:t>
      </w:r>
    </w:p>
    <w:p>
      <w:r>
        <w:rPr>
          <w:b/>
        </w:rPr>
        <w:t>E. 3</w:t>
      </w:r>
    </w:p>
    <w:p>
      <w:r>
        <w:t>Il ricorso è respinto. Tassa di giustizia e spese sono poste a carico della ricorrente, soccombente. Per questi motivi, richiamati gli art. 1 ss. Lag, 56bis CPP, 1 ss. e 39 lit. f LTG e ogni norma applicabile, pronuncia 1.   Il ricorso è respinto. 2.   La tassa di giustizia di CHF 50.-- e le spese di CHF 50.--, per complessivi CHF 100.-- (cento), sono poste a carico di RI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