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60.2005.266 vom 13. September 2005</w:t>
      </w:r>
    </w:p>
    <w:p>
      <w:r>
        <w:t>TI Tribunale d'appello, 2005-09-13, IT</w:t>
      </w:r>
    </w:p>
    <w:p>
      <w:r>
        <w:rPr>
          <w:b/>
        </w:rPr>
        <w:t xml:space="preserve">Quelle: </w:t>
      </w:r>
      <w:r>
        <w:t>https://mcp.opencaselaw.ch/entscheid/ti_gerichte_60.2005.266</w:t>
      </w:r>
    </w:p>
    <w:p>
      <w:r>
        <w:t>FR: TI_GERICHTE 60.2005.266 du 13 septembre 2005</w:t>
      </w:r>
    </w:p>
    <w:p>
      <w:r>
        <w:t>IT: TI_GERICHTE 60.2005.266 del 13 settembre 2005</w:t>
      </w:r>
    </w:p>
    <w:p>
      <w:pPr>
        <w:pStyle w:val="Heading2"/>
      </w:pPr>
      <w:r>
        <w:t>Regeste</w:t>
      </w:r>
    </w:p>
    <w:p>
      <w:r>
        <w:t>istanza di dissuggellamento in materia rogatoriale. procuratore pubblico quale istante.</w:t>
      </w:r>
    </w:p>
    <w:p>
      <w:pPr>
        <w:pStyle w:val="Heading2"/>
      </w:pPr>
      <w:r>
        <w:t>Erwägungen</w:t>
      </w:r>
    </w:p>
    <w:p>
      <w:r>
        <w:rPr>
          <w:b/>
        </w:rPr>
        <w:t>E. 13</w:t>
      </w:r>
    </w:p>
    <w:p>
      <w:r>
        <w:t>.   L’apposizione dei suggelli è stata invocata dalla banca perché “ così richiesti dall’allora firmatario sulla relazione... ”, con riferimento al diritto di firma esistente sul conto bancario perquisito a favore dell’avv. PI 2. Quest’ultima, interpellata da questa Camera in relazione alla richiesta di dissuggellamento, ha comunicato (con scritto 29/30.8.2005) di non avere osservazioni particolari all’istanza. Non ha quindi invocato il proprio segreto professionale in relazione all’esercizio della propria attività forense. Dal che si deve dedurre che vi ha rinunciato.</w:t>
      </w:r>
    </w:p>
    <w:p>
      <w:r>
        <w:rPr>
          <w:b/>
        </w:rPr>
        <w:t>E. 14</w:t>
      </w:r>
    </w:p>
    <w:p>
      <w:r>
        <w:t>.   L’altro possibile argomento previsto dall’art. 9 AIMP non é stato neppure invocato, ovvero l’inutilità dei documenti perquisiti e sequestrati per l’inchiesta condotta all’estero dall’autorità rogante. Argomento peraltro difficilmente sostenibile, considerato come la domanda d’assistenza sia particolarmente contenuta e mirata, e proprio centrata su due operazioni finanziarie in relazione al conto oggetto della richiesta rogatoriale.</w:t>
      </w:r>
    </w:p>
    <w:p>
      <w:r>
        <w:rPr>
          <w:b/>
        </w:rPr>
        <w:t>E. 15</w:t>
      </w:r>
    </w:p>
    <w:p>
      <w:r>
        <w:t>.   In questa situazione nulla osta al dissuggellamento dei documenti ad opera del Ministero pubblico, alla presenza dell’avv. PI 2, che solo potrebbe invocare la tutela del proprio segreto professionale in relazione ad eventuali documenti.</w:t>
      </w:r>
    </w:p>
    <w:p>
      <w:r>
        <w:rPr>
          <w:b/>
        </w:rPr>
        <w:t>E. 16</w:t>
      </w:r>
    </w:p>
    <w:p>
      <w:r>
        <w:t>.   La tassa di giustizia e le spese sono poste a carico della PI 1 __________, che le ha originate. Per questi motivi, visti gli art. 9 AIMP, 4 della legge cantonale di applicazione della AIMP, 67 e 77 PPF, 39 lit. f LTG ed ogni altra norma applicabile, pronuncia 1.   L’istanza di dissuggellamento è accolta. §   Di conseguenza i documenti sotto suggello sono ritornati al Ministero pubblico perché proceda ai suoi incombenti. 2.   La tassa di giustizia di CHF 450.-- e le spese di CHF 50.--, per complessivi CHF 500.-- (cinquecento), sono poste a carico della PI 1 __________, __________. 3.   Intimazione: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