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60.2005.112 vom 31. Mai 2005</w:t>
      </w:r>
    </w:p>
    <w:p>
      <w:r>
        <w:t>TI Tribunale d'appello, 2005-05-31, IT</w:t>
      </w:r>
    </w:p>
    <w:p>
      <w:r>
        <w:rPr>
          <w:b/>
        </w:rPr>
        <w:t xml:space="preserve">Quelle: </w:t>
      </w:r>
      <w:r>
        <w:t>https://mcp.opencaselaw.ch/entscheid/ti_gerichte_60.2005.112</w:t>
      </w:r>
    </w:p>
    <w:p>
      <w:r>
        <w:t>FR: TI_GERICHTE 60.2005.112 du 31 mai 2005</w:t>
      </w:r>
    </w:p>
    <w:p>
      <w:r>
        <w:t>IT: TI_GERICHTE 60.2005.112 del 31 maggio 2005</w:t>
      </w:r>
    </w:p>
    <w:p>
      <w:pPr>
        <w:pStyle w:val="Heading2"/>
      </w:pPr>
      <w:r>
        <w:t>Regeste</w:t>
      </w:r>
    </w:p>
    <w:p>
      <w:r>
        <w:t>istanza di ispezione degli atti. pretura quale istante.</w:t>
      </w:r>
    </w:p>
    <w:p>
      <w:pPr>
        <w:pStyle w:val="Heading2"/>
      </w:pPr>
      <w:r>
        <w:t>Erwägungen</w:t>
      </w:r>
    </w:p>
    <w:p>
      <w:r>
        <w:rPr>
          <w:b/>
        </w:rPr>
        <w:t>E. 1</w:t>
      </w:r>
    </w:p>
    <w:p>
      <w:r>
        <w:t>PI 1</w:t>
      </w:r>
    </w:p>
    <w:p>
      <w:r>
        <w:rPr>
          <w:b/>
        </w:rPr>
        <w:t>E. 2</w:t>
      </w:r>
    </w:p>
    <w:p>
      <w:r>
        <w:t>PI 2</w:t>
      </w:r>
    </w:p>
    <w:p>
      <w:r>
        <w:rPr>
          <w:b/>
        </w:rPr>
        <w:t>E. 3</w:t>
      </w:r>
    </w:p>
    <w:p>
      <w:r>
        <w:t>PI 3</w:t>
      </w:r>
    </w:p>
    <w:p>
      <w:r>
        <w:t>4.PI 4</w:t>
      </w:r>
    </w:p>
    <w:p>
      <w:r>
        <w:t>Per la Camera dei ricorsi penali</w:t>
      </w:r>
    </w:p>
    <w:p>
      <w:r>
        <w:t>Il presidente                                                             Il segretario</w:t>
      </w:r>
    </w:p>
    <w:p>
      <w:r>
        <w:rPr>
          <w:b/>
        </w:rPr>
        <w:t>E. 4</w:t>
      </w:r>
    </w:p>
    <w:p>
      <w:r>
        <w:t>.   Come ricordato dalla decisione di principio del 5.7.2001 di questa Camera (inc. CRP __________), in caso di richiesta da parte di autorità giudiziarie per ottenere documenti di un incarto penale, la giurisprudenza ammette la richiesta se: -   si riferisce a procedimenti ancora pendenti presso l'autorità richiedente; -   è compatibile con il codice di rito applicabile a quel procedimento; -   è formulata dal titolare dell’autorità giudiziaria richiedente. L’interesse legittimo appare in questi casi pacifico e l’autorità richiedente, che pure è vincolata dal segreto d’ufficio, è senz’altro in grado di valutare la preminenza del proprio interesse rispetto a quello di eventuali terze persone implicate nel processo penale, limitando se del caso di proprio moto l’accesso dell’atto richiesto dalle parti.</w:t>
      </w:r>
    </w:p>
    <w:p>
      <w:r>
        <w:rPr>
          <w:b/>
        </w:rPr>
        <w:t>E. 5</w:t>
      </w:r>
    </w:p>
    <w:p>
      <w:r>
        <w:t>.   Nel presente caso, posto che questa Camera non può certo intervenire nella causa civile pendente presso la Pretura istante, sono adempiute le condizioni surriferite e di conseguenza i documenti richiesti potranno essere esaminati dalle parti presso la cancelleria della CCRP, senza intralciare il lavoro di quest’ultima. Le eventuali copie richieste dalle parti saranno direttamente trasmesse dalla CCRP alla Pretura istante.</w:t>
      </w:r>
    </w:p>
    <w:p>
      <w:r>
        <w:rPr>
          <w:b/>
        </w:rPr>
        <w:t>E. 6</w:t>
      </w:r>
    </w:p>
    <w:p>
      <w:r>
        <w:t>.   La tassa di giustizia e le spese sono poste a carico dell’istante che le ha generate, ritenuto che può recuperarle a carico delle parti. Per tutti questi motivi, visti l’art. 27 CPP, la LTG ed ogni altra norma applicabile, pronuncia 1.   L’istanza è accolta. 2.   La tassa di giustizia di CHF 70.-- e le spese di CHF 30.--, per complessivi CHF 100.-- (cento), sono poste a carico della IS 1, __________, che le addebiterà alle parti. 3.   Intimazione: terzi implicati 1. PI 1 2. PI 2 3. PI 3 3 patr. da: PR 1 4. PI 4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