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60.2004.199 vom 21. November 2005</w:t>
      </w:r>
    </w:p>
    <w:p>
      <w:r>
        <w:t>TI Tribunale d'appello, 2005-11-21, IT</w:t>
      </w:r>
    </w:p>
    <w:p>
      <w:r>
        <w:rPr>
          <w:b/>
        </w:rPr>
        <w:t xml:space="preserve">Quelle: </w:t>
      </w:r>
      <w:r>
        <w:t>https://mcp.opencaselaw.ch/entscheid/ti_gerichte_60.2004.199</w:t>
      </w:r>
    </w:p>
    <w:p>
      <w:r>
        <w:t>FR: TI_GERICHTE 60.2004.199 du 21 novembre 2005</w:t>
      </w:r>
    </w:p>
    <w:p>
      <w:r>
        <w:t>IT: TI_GERICHTE 60.2004.199 del 21 novembre 2005</w:t>
      </w:r>
    </w:p>
    <w:p>
      <w:pPr>
        <w:pStyle w:val="Heading2"/>
      </w:pPr>
      <w:r>
        <w:t>Regeste</w:t>
      </w:r>
    </w:p>
    <w:p>
      <w:r>
        <w:t>istanza di indennità per ingiusto procedimento. spese legali. avvocato praticante (lic. iur.). proscioglimento parziale.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 1</w:t>
      </w:r>
    </w:p>
    <w:p>
      <w:r>
        <w:rPr>
          <w:b/>
        </w:rPr>
        <w:t>E. 2</w:t>
      </w:r>
    </w:p>
    <w:p>
      <w:r>
        <w:t>PI 2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