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60.2003.92 vom 17. November 2004</w:t>
      </w:r>
    </w:p>
    <w:p>
      <w:r>
        <w:t>TI Tribunale d'appello, 2004-11-17, IT</w:t>
      </w:r>
    </w:p>
    <w:p>
      <w:r>
        <w:rPr>
          <w:b/>
        </w:rPr>
        <w:t xml:space="preserve">Quelle: </w:t>
      </w:r>
      <w:r>
        <w:t>https://mcp.opencaselaw.ch/entscheid/ti_gerichte_60.2003.92_d20041117</w:t>
      </w:r>
    </w:p>
    <w:p>
      <w:r>
        <w:t>FR: TI_GERICHTE 60.2003.92 du 17 novembre 2004</w:t>
      </w:r>
    </w:p>
    <w:p>
      <w:r>
        <w:t>IT: TI_GERICHTE 60.2003.92 del 17 novembre 2004</w:t>
      </w:r>
    </w:p>
    <w:p>
      <w:pPr>
        <w:pStyle w:val="Heading2"/>
      </w:pPr>
      <w:r>
        <w:t>Regeste</w:t>
      </w:r>
    </w:p>
    <w:p>
      <w:r>
        <w:t>istanza di promozione dell'accusa. truffa (manomissione contachilometri di un autofurgone).</w:t>
      </w:r>
    </w:p>
    <w:p>
      <w:pPr>
        <w:pStyle w:val="Heading2"/>
      </w:pPr>
      <w:r>
        <w:t>Erwägungen</w:t>
      </w:r>
    </w:p>
    <w:p>
      <w:r>
        <w:rPr>
          <w:b/>
        </w:rPr>
        <w:t>E. 1.1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w:t>
      </w:r>
    </w:p>
    <w:p>
      <w:r>
        <w:t>Giova innanzitutto evidenziare che l’istante - nel petitum - chiede, tra l’altro, di accogliere l’istanza di promozione dell’accusa senza indicare per quale ipotesi di reato e senza nemmeno indicare nei confronti di quale/i persona/e, come previsto dalla disposizione di cui all’art. 188 lit. a e lit. b. Dalla lettura del gravame emerge tuttavia che egli postula di promuovere l’accusa nei confronti di __________ PI 1 e di __________ PI 2 per l’ipotesi di reato di truffa.</w:t>
      </w:r>
    </w:p>
    <w:p>
      <w:r>
        <w:rPr>
          <w:b/>
        </w:rPr>
        <w:t>E. 3.1</w:t>
      </w:r>
    </w:p>
    <w:p>
      <w:r>
        <w:t>Il reato di cui all'art. 146 CP -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 presuppone, tra l’altro, un inganno astuto: questo è il caso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(cfr. decisione TF 6P.60/2004 - 6S.144/2004 del 20.9.2004; BSK StGB II - G. ARZT, Basilea 2003, n. 50 ss. ad art. 146 CP; G. STRATENWERTH / G. JENNY, Schweizerisches Strafrecht, BT I, 6. ed., Berna 2003, § 15 n. 16 ss.; J. REHBERG / N. SCHMID / A. DONATSCH, Strafrecht III, 8. ed., Zurigo 2003, p. 183 ss.; B. CORBOZ, Les infractions en droit suisse, volume I, Berna 2002, n. 16 ss. ad art. 146 CP; S. TRECHSEL, Schweizerisches Strafgesetzbuch, Kurzkommentar, 2. ed., Zurigo 1997, n. 7 ss. ad art. 146 CP).</w:t>
      </w:r>
    </w:p>
    <w:p>
      <w:r>
        <w:rPr>
          <w:b/>
        </w:rPr>
        <w:t>E. 3.2</w:t>
      </w:r>
    </w:p>
    <w:p>
      <w:r>
        <w:t>Dalla documentazione prodotta dall’istante in sede di denuncia emerge che il contachilometri dell’autofurgone in questione è stato effettivamente manomesso, come rettamente rilevato dal magistrato inquirente (cfr. doc. A, doc. B, doc. H, doc. I, doc. L, doc. O e doc. P allegati alla denuncia penale 30.1/1.2.2001; decreto di non luogo a procedere 10.3.2003, p. 2). Giova al proposito rilevare che __________ nella fattura rilasciata a __________ IS 1 il 17.12.1999 ha indicato “ km al contatore 64’800.-- “ (doc. A allegato alla denuncia penale 30.1/1.2.2001; cfr. pure AI 7 - doc. 8, copia contratto di compravendita per veicoli d’occasione, in cui risulta “ km percorsi 60’000 ”), mentre l’Ufficio tecnico della Sezione della circolazione di Camorino con fax di data 5.10.2000 ha informato il patrocinatore dell’istante che il veicolo è stato collaudato il 23.9.1993 con km 10'345, il 28.2.1994 con km 83’319 ed il 6.12.1999 con km 64'443 (doc. H allegato alla denuncia penale 30.1/1.2.2001). Ora, se è vero che è pacifico che il contachilometri dell’autofurgone venduto all’istante sia stato manomesso da qualcuno e che la venditrice nella fattura abbia indicato il chilometraggio non corrispondente ai chilometri effettivamente percorsi dalla vettura, è altrettanto vero che l’istante nel corso del suo interrogatorio tenutosi il 5.9.2001 dinanzi alla polizia ha confermato di aver ricevuto, al momento della consegna del veicolo, “ (…) tutta la documentazione del garage __________ ed il certificato gas di scarico ”, evidenziando comunque di non essersi preoccupato “ (…) di controllare tutti i chilometraggi ” e precisando di aver esaminato questo certificato “ (…) solamente ieri (il 4.9.2001) , quando l’agt. verbalizzante mi ” ha telefonato per chiedermi “ (…) di portarlo oggi in polizia ” (AI 7, verbale di interrogatorio 5.9.2001 di __________ IS 1, p. 1). Dalle fatture 23.6.1997, 16.10.1997 e 7.6.1994 rilasciate dal Garage __________ e consegnate all’istante unitamente all’autofurgone, risulta che questo veicolo il 26.5.1997 aveva percorso km 120'063, il 14.10.1997 km 124'817, il 24.1.1994 km 83'224 ed il 27.1.1994 km 83'224 (cfr. doc. I, copia fattura no. 0978309 del 23.6.1997; doc. L, copia fattura no. 0978554 del 16.10.1997; doc. O, copia fattura no. 948342 del 7.6.1994; doc. P, copia fattura no. 948343 del 7.6.1994 allegati alla denuncia penale 30.1/1.2.2001). Dalla copia del documento sulla manutenzione relativa ai gas di scarico, pure consegnato in originale all’istante unitamente all’oggetto di compravendita, sono indicati i chilometri effettuati dal 13.7.1988 fino al 26.2.2001 (cfr. AI</w:t>
      </w:r>
    </w:p>
    <w:p>
      <w:r>
        <w:rPr>
          <w:b/>
        </w:rPr>
        <w:t>E. 3.3</w:t>
      </w:r>
    </w:p>
    <w:p>
      <w:r>
        <w:t>Si evidenzia altresì che l’asserzione dell’istante secondo cui " l’inganno è astuto perché nella compravendita di veicoli d’occasione di scarso o medio valore è consuetudine che l’acquirente comune (privato) faccia affidamento sulle indicazioni del venditore, più o meno facilmente verificabili (Ursula Cassani, in RPS 1999 pag. 158, lett.b): così come la garanzia del venditore che il veicolo è “non accidentato”, non consentendo una verifica immediata da parte del profano, ne determina la responsabilità penale, altrettanto deve valere per l’indurre in errore l’acquirente lasciandogli credere che i chilometri indicati sul contatore siano effettivi in quanto per il profano non è affatto evidente che la manipolazione sia cosa agevole da effettuare rispettivamente da scoprire " (istanza di promozione dell’accusa 21/24.3.2003, p. 7), appare infondata. La parte dell’articolo di Cassani sul quale l’istante si basa per corroborare la sua tesi recita: “ Arglistig ist die Täuschung auch, wenn die Überprüfung besonders schwierig, unzumutbar oder handelsunüblich ist. (…). Die Unzumutbarkeit einer an sich möglichen Kontrolle kann sowohl aus den subjektiven Opfereigenschaften, wie auch aus den objektiven Umständen des Geschäftes, insbesondere aus wirtschaftlichen Betrachtungen, hervorgehen. So zum Beispiel, wenn eine Privatperson sich beim Kauf eines Gebrauchtwagens auf die Versicherung des Autohändlers verlässt, dieser sei unfallfrei ”, riferendosi contestualmente alla decisione del Tribunale federale DTF 96 IV 145 consid. 2, in cui ha sostanzialmente considerato che non si può esigere da una persona privata l’allestimento di una perizia da parte di un esperto per stabilire se l’autovettura d’occasione non abbia effettivamente subito incidenti. In casu la situazione è completamente diversa, ritenuto che era sufficiente consultare la documentazione ricevuta dalla venditrice per accorgersi dei chilometri effettivi percorsi dal veicolo. Questa verifica non appare difficile e tantomeno impossibile per un comune cittadino, non essendo nemmeno necessario l’ausilio da parte di un esperto del settore automobilistico per comprenderne il contenuto, ma sembra inoltre ragionevolmente esigibile soprattutto in caso di acquisto di un’autovettura d’occasione.</w:t>
      </w:r>
    </w:p>
    <w:p>
      <w:r>
        <w:rPr>
          <w:b/>
        </w:rPr>
        <w:t>E. 3.4</w:t>
      </w:r>
    </w:p>
    <w:p>
      <w:r>
        <w:t>A prescindere da quanto sopra esposto, si rileva in ogni modo che dagli atti non emerge l’esistenza di sufficienti indizi di reato a carico dei denunciati, segnatamente in relazione al presupposto oggettivo dell’inganno astuto. Occorre innanzitutto rilevare che i denunciati negano ogni addebito in relazione alla manomissione del contachilometri (cfr. AI 7, verbale d’interrogatorio 19.7.2001 di __________ PI 1, p. 3; verbale d’interrogatorio 4.9.2001 di __________ PI 1, p. 1 e 2; verbale d’interrogatorio 20.8.2001 di __________ PI 2, p. 2; verbale d’interrogatorio 10.9.2001 di __________ PI 2, p. 1 e 2; AI 15, verbale d’interrogatorio 14.11.2002 di __________ PI 2 e di __________ PI 1, p. 2). Dalla documentazione agli atti, in particolare dal rapporto d’inchiesta di polizia giudiziaria dell’8.10.2001 (cfr. AI 7) e dal rapporto di complemento 17.11.2002 (cfr. AI 15), non emerge che i denunciati avrebbero ingannato con astuzia l’istante rilasciando false indicazioni la cui verifica è impossibile, difficile o non ragionevolmente esigibile, inducendolo in errore sul effettivo chilometraggio dell’autofurgone, essendogli stata consegnata la documentazione contenente le cifre dei chilometri realmente percorsi. La circostanza poi che a mente dell’istante __________ PI 2 avrebbe “ speculato sul fatto che IS 1 non effettuasse nessuna verifica al momento di concludere il contratto ” (istanza di promozione dell’accusa 21/24.3.2003, p. 8), è un’argomentazione di parte che non trova alcun riscontro oggettivo negli atti.</w:t>
      </w:r>
    </w:p>
    <w:p>
      <w:r>
        <w:rPr>
          <w:b/>
        </w:rPr>
        <w:t>E. 3.5</w:t>
      </w:r>
    </w:p>
    <w:p>
      <w:r>
        <w:t>Alla luce di quanto sopra esposto e considerato che l’istante non ha ottemperato alle misure fondamentali della prudenza, nel caso qui posto a giudizio è da escludere un inganno astuto da parte dei denunciati. In assenza di inganno astuto si può prescindere dall’esame degli altri presupposti di cui all’art. 146 CP. La questione non merita pertanto ulteriore approfondimento ed il decreto impugnato non può che essere confermato. La fattispecie riveste invero una connotazione di natura civilistica e va, se del caso, risolta in quella sede. 4.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 Visto quanto precede, il decreto impugnato deve essere confermato e non sono evidentemente date le condizioni di applicazione dell’art. 186 cpv. 4 CPP. 5. Il gravame è respinto. Tassa di giustizia e spese sono poste a carico dell’istante, soccombente. Per questi motivi, richiamati gli art. 184 ss. CPP, 146 CP, 1 ss. e 39 lit. f LTG ed ogni altra norma applicabile, pronuncia 1.   L’istanza è respinta. 2.   La tassa di giustizia di CHF 450.-- e le spese di CHF 50.--, per complessivi CHF 500.-- (cinquecento), sono poste a carico di __________ IS 1, Curio.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terzi implicati 1. PI 1 2. PI 2 Per la Camera dei ricorsi penali Il presidente                                                             La segretaria</w:t>
      </w:r>
    </w:p>
    <w:p>
      <w:r>
        <w:rPr>
          <w:b/>
        </w:rPr>
        <w:t>E. 7</w:t>
      </w:r>
    </w:p>
    <w:p>
      <w:r>
        <w:t>doc. 5 e 6). Si può in particolare notare che il 22.8.1997 l’autofurgone aveva percorso km 122'544, mentre al successivo controllo risultano soltanto km 84'245 (cfr. AI 7 - doc. 5 e 6). Questi valori sono visibilmente superiori rispetto a quanto indicato sul contratto di compravendita, sulla fattura rilasciata all’istante dalla venditrice e su quanto era indicato sul contachilometri. Ciò posto e ritenuto che dal contenuto di questi documenti - in possesso di __________ IS 1 dalla consegna dell’autofurgone avvenuta il 17.12.1999 - emergono in maniera incontrovertibile i chilometri percorsi da quest’ultimo dal 1988 al 2001, che confrontando questi documenti con i chilometri indicati sul contachilometri al momento della sua presa in consegna risulta palesemente che l’autofurgone aveva in realtà percorso molti chilometri in più rispetto a quelli indicati, ne discende che si poteva esigere dall’istante di procedere alla loro compulsazione immediata. Ciò che egli ha omesso di fare, essendosi accorto soltanto diversi mesi più tardi di questa differenza [cfr. doc. N, scritto 27.10.2000 della __________ all’avv. PA 1, da cui risulta che la società ha formulato la sua presa di posizione sul contenuto dello scritto del patrocinatore di data “ 27 c.m. (quindi del 27.10.2000) e, tra l’altro, sul “ contachilometri camuffato ” (doc. N, scritto 27.10.2000)]. L’istante avrebbe quindi potuto e dovuto accorgersi, con la dovuta attenzione, della differenza di chilometri mediante la compulsazione dei documenti messigli a disposizione dalla venditrice, ciò che non era impossibile ed era ragionevolmente da lui esigibile, trattandosi inoltre di documenti di facile decifrazione anche per colui che non è un esperto di autovetture. Non avendo l’istante ottemperato a questa misura fondamentale di prudenza, nel caso in esame è da escludere un inganno astuto da parte dei denunciati.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