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60.2003.3 vom 9. März 2010</w:t>
      </w:r>
    </w:p>
    <w:p>
      <w:r>
        <w:t>TI Tribunale d'appello, 2010-03-09, IT</w:t>
      </w:r>
    </w:p>
    <w:p>
      <w:r>
        <w:rPr>
          <w:b/>
        </w:rPr>
        <w:t xml:space="preserve">Quelle: </w:t>
      </w:r>
      <w:r>
        <w:t>https://mcp.opencaselaw.ch/entscheid/ti_gerichte_60.2003.3</w:t>
      </w:r>
    </w:p>
    <w:p>
      <w:r>
        <w:t>FR: TI_GERICHTE 60.2003.3 du 9 mars 2010</w:t>
      </w:r>
    </w:p>
    <w:p>
      <w:r>
        <w:t>IT: TI_GERICHTE 60.2003.3 del 9 marzo 2010</w:t>
      </w:r>
    </w:p>
    <w:p>
      <w:pPr>
        <w:pStyle w:val="Heading2"/>
      </w:pPr>
      <w:r>
        <w:t>Regeste</w:t>
      </w:r>
    </w:p>
    <w:p>
      <w:r>
        <w:t>istanza di promozione dell'accusa. coazione.</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ed., Zurigo 1997, n. 5 ad art. 181 CP), che – di tutta evidenza – non ha compreso il senso dello scritto. Mal si vede inoltre come __________ potrebbe conoscere e quindi contattare “(…) tutti i miei (dell’istante) possibili partners contrattuali (…) ” (istanza di promozione dell’accusa 23/30.12.2002, p. 3); Per il che – posto come il fatto di comunicare ai partners di __________ dette informazioni non appaia un pregiudizio tale da seriamente compromettere il suo credito futuro – non si impone, in assenza di seri indizi in merito all’esistenza di un grave danno a’ sensi dell’art. 181 CP [a prescindere quindi da eventuali conclusioni in applicazione della legge federale sulla protezione dei dati (cfr. scritto 25/30.11.2004, ed allegati, dell’__________ a questa Camera)], di promuovere l’accusa nei confronti dei responsabili di PI 1, rispettivamente di ordinare la completazione delle informazioni preliminari al fine di identificare gli autori dello scritto in questione.</w:t>
      </w:r>
    </w:p>
    <w:p>
      <w:r>
        <w:rPr>
          <w:b/>
        </w:rPr>
        <w:t>E. 2.2</w:t>
      </w:r>
    </w:p>
    <w:p>
      <w:r>
        <w:t>Come esposto, l’istante sostiene che “ (…) la volontà espressa di indirizzarsi a tutti i miei possibili partners contrattuali (imprese di vendita al dettaglio, vendita per corrispondenza o di altro tipo – cfr. scritto 20.04.2002) (…) ” (istanza di promozione dell’accusa 23/30.12.2002, p. 3) fonderebbe la serietà del danno. A torto. PI 1 ha infatti comunicato che – nel caso in cui __________ IS 1 non avesse proceduto al pagamento della fattura di __________, rispettivamente al ritiro dell’opposizione al precetto esecutivo entro il termine assegnato – avrebbe trasmesso i suoi dati ad __________, __________, società che “ (…) registra i dati per potere dare ai suoi partner contrattuali (per esempio imprese di vendita al dettaglio, vendita per corrispondenza o di altro tipo) informazioni utili a giudicare quanto Lei sia degno di credito e anche in merito alla Sua solvibilità ” (scritto 20.4.2002, allegato alla denuncia penale 28.6/1.7.2002, AI 3): ora, per “ suoi partner contrattuali ” si devono intendere le controparti di __________, come risulta dall’uso della lettera minuscola “ s ” (“ suoi ”) in contrapposizione all’utilizzo della lettera maiuscola “ S ” riferita all’istante (“ Suo pagamento ”; “ Sua reazione ”; “ Sua persona ”; “ Sua solvibilità ”). Il carattere della gravità della minaccia deve peraltro essere valutato secondo criteri oggettivi e non secondo le reazioni del destinatario nel caso specifico (BSK StGB II - V. DELNON / B. RÜDY, op. cit., n. 31 ad art. 181 CP; J. REHBERG / N. SCHMID / A. DONATSCH, op. cit., p. 366; G. STRATENWERTH / G. JENNY, op. cit., § 5 n. 9; B. CORBOZ, op. cit., n. 11 ad art. 181 CP; S. TRECHSEL, Schweizerisches Strafgesetzbuch, Kurzkommentar,</w:t>
      </w:r>
    </w:p>
    <w:p>
      <w:r>
        <w:rPr>
          <w:b/>
        </w:rPr>
        <w:t>E. 3</w:t>
      </w:r>
    </w:p>
    <w:p>
      <w:r>
        <w:t>.   Non essendo data la prima condizione di ammissibilità dell'istanza, è superfluo esaminare – oltre gli ulteriori presupposti della suddetta norma –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6P.139/2004 del 28.10.2004;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w:t>
      </w:r>
    </w:p>
    <w:p>
      <w:r>
        <w:rPr>
          <w:b/>
        </w:rPr>
        <w:t>E. 4</w:t>
      </w:r>
    </w:p>
    <w:p>
      <w:r>
        <w:t>.   Il gravame è respinto. Tassa di giustizia e spese sono poste a carico dell’istante, soccombente. Per questi motivi, richiamati gli art. 184 ss. CPP, 181 CP, 1 ss. e 39 lit. f LTG ed ogni altra norma applicabile, pronuncia 1.   L’istanza è respinta. 2.   La tassa di giustizia di CHF 450.-- e le spese di CHF 50.--, per complessivi CHF 500.-- (cinquecento), sono poste a carico di __________ IS 1,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