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60.2003.234 vom 9. März 2010</w:t>
      </w:r>
    </w:p>
    <w:p>
      <w:r>
        <w:t>TI Tribunale d'appello, 2010-03-09, IT</w:t>
      </w:r>
    </w:p>
    <w:p>
      <w:r>
        <w:rPr>
          <w:b/>
        </w:rPr>
        <w:t xml:space="preserve">Quelle: </w:t>
      </w:r>
      <w:r>
        <w:t>https://mcp.opencaselaw.ch/entscheid/ti_gerichte_60.2003.234</w:t>
      </w:r>
    </w:p>
    <w:p>
      <w:r>
        <w:t>FR: TI_GERICHTE 60.2003.234 du 9 mars 2010</w:t>
      </w:r>
    </w:p>
    <w:p>
      <w:r>
        <w:t>IT: TI_GERICHTE 60.2003.234 del 9 marzo 2010</w:t>
      </w:r>
    </w:p>
    <w:p>
      <w:pPr>
        <w:pStyle w:val="Heading2"/>
      </w:pPr>
      <w:r>
        <w:t>Regeste</w:t>
      </w:r>
    </w:p>
    <w:p>
      <w:r>
        <w:t>istanza di promozione dell'accusa contro ignoto. ricevibilità. parte civile. soppressioni di documento.</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Giusta l’art. 186 cpv. 1 CPP la legittimazione a presentare istanza di promozione dell'accusa compete unicamente alla parte civile, cioè alla persona fisica o giuridica personalmente, direttamente ed attualmente lesa nel suo bene giuridico (art. 69 cpv. 1 CPP; M. MINI, L’istanza di promozione dell’accusa: art. 186 CPP. Istruzioni per l’uso, in RtiD I – 2004, p. 257 ss.; L. MARAZZI, Il Giar, L'arbitro nel processo penale, Lugano 2001, p. 37 ss.; M. RUSCA / E. SALMINA / C. VERDA, Commento del Codice di procedura penale ticinese, Lugano 1997, n. 1 ss. ad art. 69 CPP; N. SCHMID, Strafprozessrecht, 4. ed., Zurigo 2004, n. 502 ss.; R. HAUSER / E. SCHWERI, Schweizerisches Strafprozessrecht, 5. ed., Basilea 2002, § 38 n. 1 ss.; G. PIQUEREZ, Procédure pénale suisse, Zurigo 2000, n. 1310 ss.). Se il bene giuridico tutelato dalla legge è di natura individuale (vita e integrità personale, patrimonio, onore e libertà personale), il leso legittimato a costituirsi parte civile è colui che subisce l'illecito; in caso di violazione di norme penali che proteggono interessi collettivi (per esempio reati di falso documentale e contro i doveri d'ufficio), sono da considerare danneggiati e legittimati a costituirsi parte civile coloro che sono stati effettivamente lesi nei loro diritti da tali reati, sempre che il pregiudizio patito sia conseguenza diretta dell'azione delittuosa (M. RUSCA / E. SALMINA / C. VERDA, op. cit., n. 5 ad art. 69 CPP; N. SCHMID, op. cit., n. 503 ss. e 508 s.; R. HAUSER / E. SCHWERI, op. cit., § 38 n. 1; G. PIQUEREZ, op. cit., n. 1317). Per quanto riguarda la costituzione di parte civile, non è necessaria una forma specifica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(decisione 2.6.1997 di questa Camera in re R. SA, inc. 60.1996.29, pubblicata in REP. 1997 n. 96; M. MINI, op. cit., p. 261 s.; L. MARAZZI, op. cit., p. 40; M. RUSCA / E. SALMINA / C. VERDA, op. cit., n. 3 ad art. 70 CPP).</w:t>
      </w:r>
    </w:p>
    <w:p>
      <w:r>
        <w:rPr>
          <w:b/>
        </w:rPr>
        <w:t>E. 2.2</w:t>
      </w:r>
    </w:p>
    <w:p>
      <w:r>
        <w:t>Gli istanti hanno postulato la promozione dell’accusa per titolo di soppressioni di documento con riferimento all’asserita sottrazione di scritti dall’incarto inerente __________. __________ IS 1 e __________ IS 2 - amministratrice unica, rispettivamente direttore di detta società – non sono quindi legittimati alla presentazione del gravame, non essendo lesi direttamente dalla presunta sottrazione dei documenti, essa concernendo – se del caso – la società medesima. Essi non si confrontano peraltro con i presupposti di cui all'art. 69 cpv. 1 CPP, limitandosi a sostenere che sarebbero legittimati ad insorgere contro il suddetto decreto (istanza di promozione dell’accusa 5/6.8.2003, p. 2) ed a confermare di costituirsi parte civile (istanza di promozione dell’accusa 5/6.8.2003, p. 10), ritenuto inoltre che il fatto che giusta l'art. 67 CPP chiunque possa presentare al procuratore pubblico denuncia per un reato di azione pubblica non è sufficiente per poter di seguito inoltrare istanza di promozione dell'accusa, il denunciante non assumendo veste di parte (M. MINI, op. cit., p. 254).</w:t>
      </w:r>
    </w:p>
    <w:p>
      <w:r>
        <w:rPr>
          <w:b/>
        </w:rPr>
        <w:t>E. 3</w:t>
      </w:r>
    </w:p>
    <w:p>
      <w:r>
        <w:t>.   Il gravame appare irricevibile anche con riferimento alla domanda di promozione dell’accusa a carico di ignoti, l’accusa potendo infatti essere promossa solo nei confronti di una persona determinata (art. 188 lit. a CPP). In tale circostanza, questa Camera riconosce nondimeno la possibilità di postulare la completazione delle informazioni preliminari, domanda che presuppone – oltre alla menzione di seri indizi di colpevolezza e di nuove prove da assumere, rispettivamente di prove già assunte da approfondire, in analogia all’istanza a’ sensi dell’art. 186 cpv. 1 CPP – l’indicazione degli atti di inchiesta ritenuti necessari per determinare gli autori del reato ipotizzato: ora, gli istanti non si confrontano con detta condizione, ciò che – di tutta evidenza – non adempie i requisiti posti da questa Camera al proposito.</w:t>
      </w:r>
    </w:p>
    <w:p>
      <w:r>
        <w:rPr>
          <w:b/>
        </w:rPr>
        <w:t>E. 4</w:t>
      </w:r>
    </w:p>
    <w:p>
      <w:r>
        <w:t>.   L’istanza – a prescindere dalla sua irricevibilità – appare del resto infondato nel merito.</w:t>
      </w:r>
    </w:p>
    <w:p>
      <w:r>
        <w:rPr>
          <w:b/>
        </w:rPr>
        <w:t>E. 4.1</w:t>
      </w:r>
    </w:p>
    <w:p>
      <w:r>
        <w:t>__________ IS 1 e __________ IS 2 ipotizzano l’accusa di soppressioni di documento [secondo cui è punito chiunque, al fine di nuocere al patrimonio o ad altri diritti di una persona o di procacciare a sé o ad un terzo un indebito profitto, deteriora, distrugge, sopprime o sottrae un documento del quale non ha il diritto di disporre da solo (A. DONATSCH / W. WOHLERS, Strafrecht IV, 3. ed., Zurigo 2004, p. 165 ss.; BSK StGB II - M. BOOG, Basilea 2003, n. 1 ss. ad art. 254 CP; B. CORBOZ, Les infractions en droit suisse, volume II, Berna 2002, n. 1 ss. ad art. 254 CP; G. STRATENWERTH, Schweizerisches Strafrecht, BT II, 5. ed., Berna 2000, § 37 n. 26 ss. ; S. TRECHSEL, Schweizerisches Strafgesetzbuch, Kurzkommentar, 2. ed., Zurigo 1997, n. 1 ss. ad art. 254 CP)], sostenendo che “ il Ministero pubblico non doveva (…) limitarsi a scoprire che i documenti non fossero stati soppressi, bensì parimenti che non erano stati sottratti per settimane (o mesi) dagli incarti ” (istanza di promozione dell’accusa 5/6.8.2003, p. 10). A torto. La sottrazione degli scritti in questione presuppone infatti che essi fossero nell’incarto __________, circostanza non sostanziata da alcun indizio: gli scritti dei lic. iur. __________ __________ e __________ __________, Studio legale e notarile avv. __________ __________, __________, concernevano – come si evince dall’intestazione degli scritti medesimi (AI 7) – la __________; anche la nota 2.10.2002 (e non 4.10.2002, come menzionato nel decreto impugnato) di __________ __________ indica – quale “ titolo ” – __________, per cui i citati scritti erano correttamente archiviati nell’incarto __________, dove difatti sono stati reperiti. L’affermazione secondo cui “ il sospetto – in capo alla citata ipotesi accusatoria – era dato dal fatto che nessuno rispondeva alla giustificata richiesta degli istanti. Neppure il Consigliere di Stato! Significa che con buona probabilità non c’erano! ” (istanza di promozione dell’accusa 5/6.8.2003, p. 10) non è del resto atta a fondare seri indizi di colpevolezza al proposito, essendo essa una semplice supposizione. Non si impone pertanto di approfondire il suddetto reato, segnatamente confrontandosi con i suoi ulteriori presupposti.</w:t>
      </w:r>
    </w:p>
    <w:p>
      <w:r>
        <w:rPr>
          <w:b/>
        </w:rPr>
        <w:t>E. 4.2</w:t>
      </w:r>
    </w:p>
    <w:p>
      <w:r>
        <w:t>Non essendo data la prima condizione di ammissibilità dell'istanza, è inoltre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op. cit., § 54 n. 1 e § 55 n. 8 ss.), segnatamente quando la prova è manifestamente irrilevante, inutile o inidonea a dimostrare fatti pertinenti o a modificare la convinzione del giudice (M. RUSCA / E. SALMINA / C. VERDA, op. cit., n. 25 ad art. 58 CPP e n. 4 ad art. 79 CPP), come nella fattispecie.</w:t>
      </w:r>
    </w:p>
    <w:p>
      <w:r>
        <w:rPr>
          <w:b/>
        </w:rPr>
        <w:t>E. 5</w:t>
      </w:r>
    </w:p>
    <w:p>
      <w:r>
        <w:t>.   Il gravame è irricevibile; tassa di giustizia e spese sono poste a carico – in solido – degli istanti, soccombenti. Per questi motivi, richiamati gli art. 69 s. e 184 ss. CPP, 254 CP, 1 ss. e 39 lit. f LTG ed ogni altra norma applicabile, pronuncia 1.   L’istanza è irricevibile. 2.   La tassa di giustizia di CHF 450.-- e le spese di CHF 50.--, per complessivi CHF 500.-- (cinquecento), sono poste in solido a carico di __________ IS 1, __________, e di __________ IS 2, __________.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