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60.2002.395 vom 27. September 2004</w:t>
      </w:r>
    </w:p>
    <w:p>
      <w:r>
        <w:t>TI Tribunale d'appello, 2004-09-27, IT</w:t>
      </w:r>
    </w:p>
    <w:p>
      <w:r>
        <w:rPr>
          <w:b/>
        </w:rPr>
        <w:t xml:space="preserve">Quelle: </w:t>
      </w:r>
      <w:r>
        <w:t>https://mcp.opencaselaw.ch/entscheid/ti_gerichte_60.2002.395</w:t>
      </w:r>
    </w:p>
    <w:p>
      <w:r>
        <w:t>FR: TI_GERICHTE 60.2002.395 du 27 septembre 2004</w:t>
      </w:r>
    </w:p>
    <w:p>
      <w:r>
        <w:t>IT: TI_GERICHTE 60.2002.395 del 27 settembre 2004</w:t>
      </w:r>
    </w:p>
    <w:p>
      <w:pPr>
        <w:pStyle w:val="Heading2"/>
      </w:pPr>
      <w:r>
        <w:t>Regeste</w:t>
      </w:r>
    </w:p>
    <w:p>
      <w:r>
        <w:t>istanza di completazione delle informazioni preliminari (ignoto). truffa. falsità in documenti.</w:t>
      </w:r>
    </w:p>
    <w:p>
      <w:pPr>
        <w:pStyle w:val="Heading2"/>
      </w:pPr>
      <w:r>
        <w:t>Erwägungen</w:t>
      </w:r>
    </w:p>
    <w:p>
      <w:r>
        <w:rPr>
          <w:b/>
        </w:rPr>
        <w:t>E. 1</w:t>
      </w:r>
    </w:p>
    <w:p>
      <w:r>
        <w:t>.   1.1.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2</w:t>
      </w:r>
    </w:p>
    <w:p>
      <w:r>
        <w:t>.   2.1. Come detto, l'istante chiede di annullare la decisione 9.12.2002 e di fare ordine al procuratore pubblico di procedere all'assunzione delle informazioni preliminari per titolo di falsità in documenti e truffa. IS 1 postula quindi di fatto la completazione delle informazioni preliminari giusta l'art. 186 cpv. 4 CPP, facoltà riconosciuta da questa Camera qualora l'autore sia ignoto: in questo caso, infatti, la parte civile non può proporre istanza a' sensi dell'art. 186 cpv. 1 CPP, l'accusa potendo essere promossa solo nei confronti di una persona determinata (art. 188 lit. a CPP).</w:t>
      </w:r>
    </w:p>
    <w:p>
      <w:r>
        <w:rPr>
          <w:b/>
        </w:rPr>
        <w:t>E. 2.2</w:t>
      </w:r>
    </w:p>
    <w:p>
      <w:r>
        <w:t>Un'istanza di completazione delle informazioni preliminari presuppone nondimeno - oltre alla menzione di seri indizi di colpevolezza e di nuove prove da assumere, rispettivamente prove già assunte da approfondire, in analogia al gravame a' sensi dell'art. 186 cpv. 1 CPP - l'indicazione degli atti di inchiesta ritenuti necessari per determinare gli autori dei reati in questione: ora, IS 1 non si confronta con tale condizione, limitandosi a dire che " (…) ignoti, ma certamente e giocoforza legati alla __________, avevano operato palesemente delle modifiche al documento per elevarlo - (…) - a cambiale " (istanza di promozione dell'accusa 20/23.12.2002, p. 3), ciò che - di tutta evidenza - non adempie i requisiti posti da questa Camera al proposito.</w:t>
      </w:r>
    </w:p>
    <w:p>
      <w:r>
        <w:rPr>
          <w:b/>
        </w:rPr>
        <w:t>E. 2.3</w:t>
      </w:r>
    </w:p>
    <w:p>
      <w:r>
        <w:t>Il gravame - a prescindere dalla sua irricevibilità - appare peraltro infondato nel merito. L'istante ipotizza l'accusa di falsità in documenti giusta l'art. 251 CP (secondo cui è punito con la reclusione fino a cinque anni o con la detenzione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 importanza giuridica, o fa uso, a scopo di inganno, di un tale documento; decisione TF 6S.114/2004 del 15.7.2004; DTF 128 IV 265; J. REHBERG / W. WOHLERS, Strafrecht IV, 3. ed., Zurigo 2004, p. 142 ss.; BSK StGB II - M. BOOG, Basilea 2003, n. 1 ss. ad art. 251 CP; B. CORBOZ, Les infractions en droit suisse, volume II, Berna 2002, n. 1 ss. ad art. 251 CP; G. STRATENWERTH, Schweizerisches Strafrecht, BT II, 5. ed., Berna 2000, § 36 n. 1 ss.; S. TRECHSEL, Schweizerisches Strafgesetzbuch, Kurzkommentar, 2. ed., Zurigo 1997, n. 1 ss. ad art. 251 CP), ritenendo segnatamente che ignoti abbiano completato lo scritto di cui al doc. 2 (allegato alla denuncia penale 5/6.12.2002, AI 1) in maniera contraria alla volontà di colui che lo ha firmato e che quindi abbiano abusato dell'altrui firma autentica (J. REHBERG / W. WOHLERS, op. cit., p. 144 ss.; BSK StGB II - M. BOOG, op. cit., n. 25 ss. ad art. 251 CP; B. CORBOZ, op. cit., n. 67 ss. ad art. 251 CP; G. STRATENWERTH, op. cit., § 36 n. 13 ss.; S. TRECHSEL, op. cit., n. 4 s. ad art. 251 CP). A torto. Il citato scritto è infatti un vaglia cambiario a' sensi degli art. 1096 ss. CO, circostanza che l'istante doveva sapere perché menzionata sullo scritto stesso, come peraltro prevede l'art. 1096 cifra 1 CO. Il fatto che al momento della sua sottoscrizione non sarebbero stati indicati scadenza e luogo di emissione giusta l'art. 1096 cifre 3 e 6 CO non appare pertanto di rilevanza: un vaglia cambiario senza indicazione di scadenza si considera infatti pagabile a vista (art. 1097 cpv. 2 CO) ed un vaglia cambiario in cui non è indicato il luogo di emissione si considera sottoscritto nel luogo indicato accanto al nome dell'emittente (art. 1097 cpv. 4), per cui la sua asserita completazione con le (di per sé superflue) indicazioni " a vista " e "__________" - designazioni che corrispondono a quanto prevede il predetto art. 1097 cpv. 2 e 4 CO - non ha modificato la portata giuridica del titolo. La medesima conclusione si impone con riferimento alla data: l'art. 1097 CO non regola invero l'ipotesi in cui non venga indicata sul vaglia cambiario; nondimeno, esso può essere emesso in bianco, per cui l'inserimento successivo della data non invalida il titolo (BSK OR II - M. FREY, 2. ed., Basilea 2002, n. 12 ad art. 1096 CO; cfr. i combinati art. 1098 cpv. 2 e 1000 CO). Per il che e ritenuto che l'istante non sostiene di essersi accordato con __________ nel senso di non procedere ad aggiunte, __________ poteva - in mancanza di un'intesa contraria - reputare di legittimamente completare il vaglia cambiario con le suddette indicazioni. Il fatto che la data di cui al doc. 2 (allegato alla denuncia penale 5/6.12.2002, AI 1) non coinciderebbe con quella della firma del documento [" (…) attraverso la testimonianza eventualmente proposta si sarebbe potuto evidenziare che il documento primordiale era stato firmato non il 22 novembre 2002, bensì il 20 novembre 2002 " (istanza di promozione dell'accusa 20/23.12.2002, p. 7)] e che IS 1, e per essa __________ __________, non avrebbe inteso sottoscrivere un vaglia cambiario non implica del resto - alla luce delle precedenti considerazioni - che ignoti abbiano proceduto alle citate aggiunte con l'intenzione di nuocere al patrimonio o ad altri diritti dell'istante o di procacciare a sé o ad altri un indebito profitto (J. REHBERG / W. WOHLERS, op. cit., p. 152 ss.; BSK StGB II - M. BOOG, op. cit., n. 86 ss. ad art. 251 CP; B. CORBOZ, op. cit., n. 171 ss. ad art. 251 CP; G. STRATENWERTH, op. cit., § 36 n. 20 ss.; S. TRECHSEL, op. cit., n. 12 ss. ad art. 251 CP). Non si impone di conseguenza un approfondimento della fattispecie.</w:t>
      </w:r>
    </w:p>
    <w:p>
      <w:r>
        <w:rPr>
          <w:b/>
        </w:rPr>
        <w:t>E. 2.4</w:t>
      </w:r>
    </w:p>
    <w:p>
      <w:r>
        <w:t>IS 1 chiede inoltre la completazione delle informazioni preliminari con riferimento al reato di cui all'art. 146 CP (secondo cui è punito per truffa con la reclusione fino a cinque anni o con la detenzione chiunque, per procacciare a sé o ad altri un indebito profitto, inganna con astuzia una persona affermando cose false o dissimulando cose vere, oppure ne conferma subdolamente l'errore inducendola in tal modo ad atti pregiudizievoli al patrimonio proprio o altrui; decisione TF 6S.209/2004 del 28.7.2004; BSK StGB II - G. ARZT, op. cit., n. 10 ss. ad art. 146 CP). L'istante omette tuttavia di definire con chiarezza la fattispecie inerente il reato in questione: non appare infatti sufficiente - a motivazione del gravame - affermare che " (…) ritiene pure dati gli estremi per un sospetto di violazione all'art. 146 CPS, o quantomeno una mancata violazione a detta norma. Se del caso verso la banca, o comunque verso la ricorrente poiché messa in posizione di doversi difendere ad una cambiale che mai aveva sottoscritto. Tale agire è stato fatto volutamente ed astutamente in quanto era chiaro che la banca non avrebbe altrimenti accettato la cambiale " (istanza di promozione dell'accusa 20/23.12.2002, p. 6), tanto più che non compete alla Camera dei ricorsi penali ricostruire i fatti ritenuti di rilevanza penale. Il procuratore pubblico non ha del resto proceduto all'esame dell'ipotesi accusatoria a' sensi della predetta disposizione, per cui questa Camera, quale autorità di ricorso (art. 284 ss. CPP), non potrebbe neppure esprimersi in merito.</w:t>
      </w:r>
    </w:p>
    <w:p>
      <w:r>
        <w:rPr>
          <w:b/>
        </w:rPr>
        <w:t>E. 3</w:t>
      </w:r>
    </w:p>
    <w:p>
      <w:r>
        <w:t>.   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peraltro obbligato ad assumere tutte le prove, essendo ammesso un apprezzamento anticipato (decisione TF 1P.278/2004 del 18.8.2004; R. HAUSER / E. SCHWERI, Schweizerisches Strafprozessrecht, 5. ed., Basilea 2002, § 54 n. 1 e § 55 n. 8 ss.), segnatamente quando la prova è manifestamente irrilevante, inutile o inidonea a dimostrare fatti pertinenti o a modificare la convinzione del giudice (M. RUSCA / E. SALMINA / C. VERDA, Commento del Codice di procedura penale ticinese, Lugano 1997, n. 25 ad art. 58 CPP e n.</w:t>
      </w:r>
    </w:p>
    <w:p>
      <w:r>
        <w:rPr>
          <w:b/>
        </w:rPr>
        <w:t>E. 4</w:t>
      </w:r>
    </w:p>
    <w:p>
      <w:r>
        <w:t>.   Il gravame è irricevibile; tassa di giustizia e spese sono poste a carico dell'istante, soccombente. Per questi motivi, richiamati gli art. 184 ss. CPP, 146 e 251 CP, 1 ss. e 39 lit. f LTG ed ogni altra norma applicabile, pronuncia 1.   L'istanza è irricevibile. 2.   La tassa di giustizia di fr. 450.-- e le spese di fr. 50.--, per complessivi fr. 500.-- (cinquecento), sono poste a carico di IS 1, __________. 3.   Intimazione: terzi implicati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