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60.2002.350 vom 25. Oktober 2004</w:t>
      </w:r>
    </w:p>
    <w:p>
      <w:r>
        <w:t>TI Tribunale d'appello, 2004-10-25, IT</w:t>
      </w:r>
    </w:p>
    <w:p>
      <w:r>
        <w:rPr>
          <w:b/>
        </w:rPr>
        <w:t xml:space="preserve">Quelle: </w:t>
      </w:r>
      <w:r>
        <w:t>https://mcp.opencaselaw.ch/entscheid/ti_gerichte_60.2002.350</w:t>
      </w:r>
    </w:p>
    <w:p>
      <w:r>
        <w:t>FR: TI_GERICHTE 60.2002.350 du 25 octobre 2004</w:t>
      </w:r>
    </w:p>
    <w:p>
      <w:r>
        <w:t>IT: TI_GERICHTE 60.2002.350 del 25 ottobre 2004</w:t>
      </w:r>
    </w:p>
    <w:p>
      <w:pPr>
        <w:pStyle w:val="Heading2"/>
      </w:pPr>
      <w:r>
        <w:t>Regeste</w:t>
      </w:r>
    </w:p>
    <w:p>
      <w:r>
        <w:t>istanza di promozione dell'accusa. registrazione clandestina di conversazioni.</w:t>
      </w:r>
    </w:p>
    <w:p>
      <w:pPr>
        <w:pStyle w:val="Heading2"/>
      </w:pPr>
      <w:r>
        <w:t>Erwägungen</w:t>
      </w:r>
    </w:p>
    <w:p>
      <w:r>
        <w:rPr>
          <w:b/>
        </w:rPr>
        <w:t>E. 1</w:t>
      </w:r>
    </w:p>
    <w:p>
      <w:r>
        <w:t>.   1.1. Ogni giudice, procuratore pubblico, segretario o assessore-giurato è escluso per legge dall'esercitare il suo ufficio quando sia parente o affine in linea retta, parente fino al quarto grado in linea collaterale o affine fino al secondo grado nella stessa linea con la parte lesa, con l'accusato, con un avvocato che partecipa al processo o con un avvocato collega di studio del patrocinatore di una parte [art. 40 lit. c) e d) CPP]. Ogni magistrato o funzionario, dal momento in cui viene a conoscenza di una causa che lo esclude, deve astenersi da qualsiasi atto giudiziario, pena la nullità degli atti giudiziari ulteriormente compiuti (art. 41 CPP).</w:t>
      </w:r>
    </w:p>
    <w:p>
      <w:r>
        <w:rPr>
          <w:b/>
        </w:rPr>
        <w:t>E. 1.2</w:t>
      </w:r>
    </w:p>
    <w:p>
      <w:r>
        <w:t>Come detto, l'istante asserisce che " risulta che la PP __________ __________ abbia un legame di parentela con l'avv. __________ PA 1, patrocinatore del denunciato __________ PI 1, in quanto il marito della PP __________, l'avv. __________ __________, risulta essere cugino dell'avv. __________ PA 1 " (istanza di promozione dell'accusa 19/20.11.2002, p. 2); il magistrato inquirente avrebbe quindi dovuto escludersi a' sensi dell'art. 40 lit. d) CPP.</w:t>
      </w:r>
    </w:p>
    <w:p>
      <w:r>
        <w:rPr>
          <w:b/>
        </w:rPr>
        <w:t>E. 1.3</w:t>
      </w:r>
    </w:p>
    <w:p>
      <w:r>
        <w:t>Ora, l'avv. __________ PA 1 - figlio del fratello del padre del marito del procuratore pubblico (cfr. scritto 6/9.12.2002 del procuratore pubblico __________ __________ a questa Camera) - è parente di quarto grado in linea collaterale con l'avv. __________ __________ (art. 20 CC), per cui in applicazione dell'art. 21 cpv. 1 CC - secondo il quale chi è parente di una persona è affine nella stessa linea e nello stesso grado con il coniuge di questa - il legale di __________ PI 1 è affine di quarto grado in linea collaterale con il magistrato inquirente, circostanza che non fonda un motivo di esclusione giusta l'art. 40 lit. d) CPP. La censura appare quindi ingiustificata.</w:t>
      </w:r>
    </w:p>
    <w:p>
      <w:r>
        <w:rPr>
          <w:b/>
        </w:rPr>
        <w:t>E. 2</w:t>
      </w:r>
    </w:p>
    <w:p>
      <w:r>
        <w:t>.   2.1.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3</w:t>
      </w:r>
    </w:p>
    <w:p>
      <w:r>
        <w:t>.   3.1. Come esposto, l'istante chiede di promuovere l'accusa nei confronti del querelato, rispettivamente di ordinare la completazione delle informazioni preliminari giusta l'art. 179ter CP, secondo cui è punito, a querela di parte, chiunque, senza l'assenso degli altri interlocutori, registra su un supporto del suono una conversazione non pubblica cui partecipi oppure chiunque conserva, sfrutta o rende accessibile a un terzo una registrazione che sa o deve presumere eseguita mediante un reato secondo il primo capoverso (BSK StGB II - P. VON INS / P.R. WYDER, Basilea 2003, n. 2 ss. ad art. 179ter CP; G. STRATENWERTH / G. JENNY, Schweizerisches Strafrecht, BT I, 6. ed., Berna 2003, § 12 n. 42 ss.; J. REHBERG / N. SCHMID / A. DONATSCH, Strafrecht III, 8. ed., Zurigo 2003, p. 348 s.; B. CORBOZ, Les infractions en droit suisse, volume I, Berna 2002, n. 1 ss. ad art. 179ter CP; S. TRECHSEL, Schweizerisches Strafgesetzbuch, Kurzkommentar, 2. ed., Zurigo 1997, n. 1 ss. ad art. 179ter CP).</w:t>
      </w:r>
    </w:p>
    <w:p>
      <w:r>
        <w:rPr>
          <w:b/>
        </w:rPr>
        <w:t>E. 3.2</w:t>
      </w:r>
    </w:p>
    <w:p>
      <w:r>
        <w:t>Il gravame appare tuttavia irricevibile al proposito: infatti, l'istante - che tralascia anche di indicare nuove prove da assumere, rispettivamente prove già assunte da approfondire, come imposto dalla giurisprudenza di questa Camera in merito alle condizioni di ammissibilità dell'impugnativa - omette di confrontarsi con i presupposti di detta ipotesi accusatoria, rispettivamente con la motivazione di cui al decreto impugnato, limitandosi a sostenere, senza ulteriormente spiegarne le ragioni, che - ai fini del giudizio - sarebbe decisivo " (…) il fatto che il denunciato ha fatto uso della cassetta in Svizzera nel corso dell'udienza dello scorso 24 ottobre 2002 in pretura a __________ " (istanza di promozione dell'accusa 19/20.11.2002, p. 4), e ciò in palese inosservanza del principio secondo cui un'istanza di promozione dell'accusa comporta, oltre alla precisa indicazione dei reati per i quali è postulata (come prevede l'art. 188 lit. b CPP), la puntuale descrizione di seri indizi di colpevolezza in relazione alle condizioni oggettive e soggettive dei reati ipotizzati. Questa Camera - quale autorità di ricorso (art. 284 ss. CPP) - non è inoltre competente a disporre il sequestro giusta gli art. 161 ss. CPP: la domanda " (…) che il CD in questione, in quanto corpo del reato, venga posto sotto sequestro ex art. 161 CPPT " (istanza di promozione dell'accusa 19/20.11.2002, p. 5) non è quindi proponibile in questa sede.</w:t>
      </w:r>
    </w:p>
    <w:p>
      <w:r>
        <w:rPr>
          <w:b/>
        </w:rPr>
        <w:t>E. 3.3</w:t>
      </w:r>
    </w:p>
    <w:p>
      <w:r>
        <w:t>L'istanza - a prescindere dalla sua irricevibilità - appare peraltro infondata nel merito. __________ IS 1 rimprovera al querelato di aver prodotto la cassetta incriminata nell'ambito di procedure civili svizzere, rendendo quindi accessibile a terzi la registrazione in questione: ora, tale condotta è punita a' sensi della suddetta disposizione solo se la registrazione è stata eseguita commettendo un reato, ciò che non è avvenuto nella fattispecie. L'illegittimità della registrazione giusta l'art. 615bis CPI - secondo cui è punito per interferenze illecite nella vita privata chiunque, mediante l'uso di strumenti di ripresa visiva o sonora, si procura indebitamente notizie o immagini attinenti alla vita privata svolgentesi nei luoghi indicati nell'art. 614 (violazione di domicilio) o diffonde mediante qualsiasi mezzo di informazione al pubblico le notizie o le immagini ottenute nei modi indicati nella prima parte di questo articolo - presuppone infatti che le interferenze illecite provengano da terzi rimasti estranei alla conversazione oggetto di registrazione (F. STELLA / G. ZUCCALÀ, Commentario breve al Codice penale, Padova 1990, ad art. 615bis CPI, p. 853; cfr. anche BSK StGB II - P. VON INS / P.R. WYDER, op. cit., n. 3 ad art. 179 CP e FF 2001 2328). __________ PI 1, quale destinatario della discussione, non poteva quindi adempiere il reato a' sensi dell'art. 615bis CPI, per cui il fatto di aver prodotto in causa in Svizzera la cassetta contenente una conversazione registrata legittimamente in Italia non fonda seri indizi di colpevolezza a' sensi dell'art. 179ter CP.</w:t>
      </w:r>
    </w:p>
    <w:p>
      <w:r>
        <w:rPr>
          <w:b/>
        </w:rPr>
        <w:t>E. 4</w:t>
      </w:r>
    </w:p>
    <w:p>
      <w:r>
        <w:t>.   Non essendo data la prima condizione di ammissibilità dell'istanza, è superfluo esaminare la disponibilità di nuove prove da assumere, rispettivamente la possibilità di approfondimento di prove già acquisite (che peraltro l'istante non ha indicato; cfr. considerando 3.2.), tale da consentire l'eventuale passo dall'indizio alla certezza, come alle competenze del giudice di merito. Il procuratore pubblico non è del resto obbligato ad assumere tutte le prove, essendo ammesso un apprezzamento anticipato (decisione TF 1P.147/2004 del 27.9.2004;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 4 ad art. 79 CPP). Le ragioni a fondamento della presente decisione rendono superflua anche la completazione delle informazioni preliminari giusta l'art. 186 cpv. 4 CPP, fattispecie che pertanto non si impone di approfondire.</w:t>
      </w:r>
    </w:p>
    <w:p>
      <w:r>
        <w:rPr>
          <w:b/>
        </w:rPr>
        <w:t>E. 5</w:t>
      </w:r>
    </w:p>
    <w:p>
      <w:r>
        <w:t>.   Il gravame, per quanto ricevibile, è respinto; può quindi restare irrisolta la questione inerente la tempestività della querela penale. Tassa di giustizia e spese sono poste a carico dell'istante, soccombente. Per questi motivi, richiamati gli art. 184 ss. CPP, 179ter CP, 1 ss. e 39 lit. f LTG ed ogni altra norma applicabile, pronuncia 1.   L'istanza, per quanto ricevibile, è respinta. 2.   La tassa di giustizia di fr. 450.-- e le spese di fr. 50.--, per complessivi fr. 500.-- (cinquecento), sono poste a carico di __________ IS 1, __________ - __________.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PI 1 patrocinato da: PA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