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53.2004.5 vom 20. Juni 2007</w:t>
      </w:r>
    </w:p>
    <w:p>
      <w:r>
        <w:t>TI Tribunale d'appello, 2007-06-20, IT</w:t>
      </w:r>
    </w:p>
    <w:p>
      <w:r>
        <w:rPr>
          <w:b/>
        </w:rPr>
        <w:t xml:space="preserve">Quelle: </w:t>
      </w:r>
      <w:r>
        <w:t>https://mcp.opencaselaw.ch/entscheid/ti_gerichte_53.2004.5</w:t>
      </w:r>
    </w:p>
    <w:p>
      <w:r>
        <w:t>FR: TI_GERICHTE 53.2004.5 du 20 juin 2007</w:t>
      </w:r>
    </w:p>
    <w:p>
      <w:r>
        <w:t>IT: TI_GERICHTE 53.2004.5 del 20 giugno 2007</w:t>
      </w:r>
    </w:p>
    <w:p>
      <w:pPr>
        <w:pStyle w:val="Heading2"/>
      </w:pPr>
      <w:r>
        <w:t>Regeste</w:t>
      </w:r>
    </w:p>
    <w:p>
      <w:r>
        <w:t>Risarcimento danni riconducibile alla violazione di un contratto per il trasporto di allievi di scuola media conchiuso dallo Stato con un privato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CO; 3, 18, 28, 31, 71 lett. b PAmm; dichiara e pronuncia: 1.   La petizione è parzialmente accolta. §.  Di conseguenza, lo Stato della Repubblica e Canton del Ticino è tenuto a versare ad AT 1 la somma di fr. 18'845.60, più interessi del 5% a far tempo dal 20 agosto 2003. 2.   La tassa di giustizia e le ripetibili sono compensate. 3.   Contro la presente decisione è dato ricorso in materia di diritto pubblico al Tribunale federale a Losanna entro il termine di 30 giorni dalla sua notificazione (art. 82 ss LTF). Qualora non sia proponibile il ricorso in materia di diritto pubblico, entro il medesimo termine è ammesso il ricorso sussidiario in materia costituzionale al Tribunale federale (art. 113 ss LTF). terzi implicati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