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53.2004.20 vom 1. Juni 2006</w:t>
      </w:r>
    </w:p>
    <w:p>
      <w:r>
        <w:t>TI Tribunale d'appello, 2006-06-01, IT</w:t>
      </w:r>
    </w:p>
    <w:p>
      <w:r>
        <w:rPr>
          <w:b/>
        </w:rPr>
        <w:t xml:space="preserve">Quelle: </w:t>
      </w:r>
      <w:r>
        <w:t>https://mcp.opencaselaw.ch/entscheid/ti_gerichte_53.2004.20</w:t>
      </w:r>
    </w:p>
    <w:p>
      <w:r>
        <w:t>FR: TI_GERICHTE 53.2004.20 du 1 juin 2006</w:t>
      </w:r>
    </w:p>
    <w:p>
      <w:r>
        <w:t>IT: TI_GERICHTE 53.2004.20 del 1 giugno 2006</w:t>
      </w:r>
    </w:p>
    <w:p>
      <w:pPr>
        <w:pStyle w:val="Heading2"/>
      </w:pPr>
      <w:r>
        <w:t>Regeste</w:t>
      </w:r>
    </w:p>
    <w:p>
      <w:r>
        <w:t>Richiesta versamento della gratifica per anzianità di servizio</w:t>
      </w:r>
    </w:p>
    <w:p>
      <w:pPr>
        <w:pStyle w:val="Heading2"/>
      </w:pPr>
      <w:r>
        <w:t>Erwägungen</w:t>
      </w:r>
    </w:p>
    <w:p>
      <w:r>
        <w:rPr>
          <w:b/>
        </w:rPr>
        <w:t>E. 10</w:t>
      </w:r>
    </w:p>
    <w:p>
      <w:r>
        <w:t>ore, corretto ad 11 grazie al saldo di un'ora a favore dell'attore ( bonus ) risultante dall'anno scolastico 2002/03; che per principio lo stipendio deve essere versato ai dipendenti alle scadenze previste dalla legge, in conformità delle condizioni fissate dalla risoluzione su cui si fonda il rapporto d'impiego, prescindendo dalla durata della prestazione lavorativa effettivamente fornita; che la retribuzione dei docenti nominati non è in particolare calcolata in base alle ore di lezione effettivamente tenute, ma è stabilita su base annua in funzione dell'onere d'insegnamento fissato dalla risoluzione di nomina; che dipendenti sottoccupati per motivi imputabili al datore di lavoro hanno in linea di massima diritto allo stipendio prestabilito anche se la prestazione lavorativa effettivamente fornita è inferiore a quella fissata dall'atto di assunzione; che, giusta l'art. 1 cpv. 3 del Regolamento concernente l'onere d'insegnamento dei docenti (ROID), per esigenze organizzative dell'orario scolastico, l'orario dei docenti nominati può variare, di regola, per un massimo di due ore in sorpasso o in difetto del rapporto di nomina; le differenze sono da compensare - rispettivamente recuperare - nel biennio successivo; che la norma in questione, entrata in vigore il 1° settembre 2003, codifica un prassi trentennale, condivisa dal corpo insegnante, conferendo all'autorità scolastica la facoltà di modulare, entro determinati limiti, l'onere effettivo d'insegnamento dei docenti, aumentandolo o riducendolo di due ore al massimo per rapporto all'onere nominale fissato dall'atto di nomina, con riserva di compensare nel biennio successivo la differenza registrata a suo favore ( malus ) od a favore del dipendente ( bonus ); che l'art. 1 cpv. 3 ROID prevede unicamente la compensazione in natura; non prevede, in particolare, alcuna compensazione in denaro mediante trattenute sullo stipendio volte a compensare un saldo negativo ( malus ) di ore di lezione; che, per principio, spetta al convenuto, nella sua qualità di datore di lavoro, organizzare l'orario scolastico in modo da permettere ai docenti gravati da un malus di compensare in natura le ore di lezione retribuite in eccedenza per rapporto all'onere d'insegnamento fissato dal rapporto d'impiego; che in mancanza di un'esplicita disposizione che lo preveda, in caso di cessazione del rapporto d'impiego, di docenti gravati da un malus per ore di lezione retribuite in eccedenza, lo Stato non diventa creditore nei loro confronti per un importo corrispondente alle ore che per motivi imputabili alla sua organizzazione del lavoro non hanno potuto recuperare; che, nel caso concreto, la sottoccupazione dell'attore non è da ricondurre a motivi a lui imputabili, ma è dipesa esclusivamente dall'organizzazione del lavoro prevista dal convenuto; che, stando così le cose, il convenuto non ha alcun credito da vantare nei confronti dell'attore e da portare in compensazione; che la petizione va dunque accolta, imponendo allo Stato di versare all'attore l'intera gratifica di anzianità che gli ha riconosciuto; che, dato l'esito, si prescinde dal prelievo di una tassa di giustizia. Per questi motivi, visti gli art. 68 LOrd; 3 ROID; 3, 18, 28, 71 PAmm; dichiara e pronuncia: 1.   La petizione è accolta . §.  Di conseguenza, lo Stato verserà all'attore l'intera gratifica per anzianità di servizio che gli ha riconosciuto. 2.   Non si preleva tassa di giustizia.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