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53.1999.1 vom 21. Juni 1999</w:t>
      </w:r>
    </w:p>
    <w:p>
      <w:r>
        <w:t>TI Tribunale d'appello, 1999-06-21, IT</w:t>
      </w:r>
    </w:p>
    <w:p>
      <w:r>
        <w:rPr>
          <w:b/>
        </w:rPr>
        <w:t xml:space="preserve">Quelle: </w:t>
      </w:r>
      <w:r>
        <w:t>https://mcp.opencaselaw.ch/entscheid/ti_gerichte_53.1999.1</w:t>
      </w:r>
    </w:p>
    <w:p>
      <w:r>
        <w:t>FR: TI_GERICHTE 53.1999.1 du 21 juin 1999</w:t>
      </w:r>
    </w:p>
    <w:p>
      <w:r>
        <w:t>IT: TI_GERICHTE 53.1999.1 del 21 giugno 1999</w:t>
      </w:r>
    </w:p>
    <w:p>
      <w:pPr>
        <w:pStyle w:val="Heading2"/>
      </w:pPr>
      <w:r>
        <w:t>Regeste</w:t>
      </w:r>
    </w:p>
    <w:p>
      <w:r>
        <w:t>Sentenza o decisione senza scheda</w:t>
      </w:r>
    </w:p>
    <w:p>
      <w:pPr>
        <w:pStyle w:val="Heading2"/>
      </w:pPr>
      <w:r>
        <w:t>Erwägungen</w:t>
      </w:r>
    </w:p>
    <w:p>
      <w:r>
        <w:rPr>
          <w:b/>
        </w:rPr>
        <w:t>E. 44</w:t>
      </w:r>
    </w:p>
    <w:p>
      <w:r>
        <w:t>CO). Posto che l'entità del danno non è di assoluto rilievo, il risarcimento va fissato tenendo conto delle modalità in cui sono stati violati i doveri di servizio e si è avverato il danno, della colpa imputabile al responsabile, nonché delle condizioni personali, sociali ed economiche nelle quali versa l'agente pubblico (RDAT II 1995, no. 15, pag. 39). 3.2. Le circostanze e la gravità della colpa sono già state esaminate nel considerando precedente. Occorre ora valutare la situazione personale del convenuto. __________ è alle dipendenze del comune di __________ dal 2 novembre 1994 e durante tale periodo non ha mai dato adito a lagnanze. È celibe e non ha persona a carico. Egli percepisce un salario netto di fr. 3'492.60 con il quale deve far fronte agli usuali oneri mensili. Le elevate spese di trasferta per raggiungere il luogo di lavoro, il premio per l'assicurazione ospedaliera in camera privata, il premio per l'assicurazione terzo pilastro ed i premi per l'assicurazione RC per le due autovetture che possiede non possono essere tenuti in considerazione, trattandosi di spese che esulano dal normale fabbisogno. Ponderate tutte le circostanze oggettive e soggettive della fattispecie, la pretesa vantata dall'attore appare confacentemente proporzionata alla colpa a lui imputabile. Eventuali difficoltà nel pagamento potranno essere superate mediante pagamenti rateali. 4.   Il convenuto va pertanto condannato al pagamento di fr. 3'777.30 oltre interessi al 5% dal 15 ottobre 1998. La tassa di giustizia e le spese seguono la soccombenza. La richiesta dell'attore volta all'ottenimento di un importo a titolo di ripetibili non può essere accolta, ritenuto che il comune di __________ non si è avvalso del patrocinio di un avvocato. Per questi motivi, visti gli art. 18 CP; 8 LFResp; 13, 16, 22, 27 LResp; 1 ss. PAmm; dichiara e pronuncia: 1.   La petizione è accolta. §.  __________ è condannato a versare al comune di __________ la somma di fr. 3'777.30 oltre interessi al 5% dal 15 ottobre 1998. 2.   La tassa di giustizia di fr. 800.-- è posta a carico di __________. Non si assegnano ripetibili.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