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53.1998.2 vom 3. August 1998</w:t>
      </w:r>
    </w:p>
    <w:p>
      <w:r>
        <w:t>TI Tribunale d'appello, 1998-08-03, IT</w:t>
      </w:r>
    </w:p>
    <w:p>
      <w:r>
        <w:rPr>
          <w:b/>
        </w:rPr>
        <w:t xml:space="preserve">Quelle: </w:t>
      </w:r>
      <w:r>
        <w:t>https://mcp.opencaselaw.ch/entscheid/ti_gerichte_53.1998.2</w:t>
      </w:r>
    </w:p>
    <w:p>
      <w:r>
        <w:t>FR: TI_GERICHTE 53.1998.2 du 3 août 1998</w:t>
      </w:r>
    </w:p>
    <w:p>
      <w:r>
        <w:t>IT: TI_GERICHTE 53.1998.2 del 3 agosto 1998</w:t>
      </w:r>
    </w:p>
    <w:p>
      <w:pPr>
        <w:pStyle w:val="Heading2"/>
      </w:pPr>
      <w:r>
        <w:t>Volltext</w:t>
      </w:r>
    </w:p>
    <w:p>
      <w:r>
        <w:t>Incarto n.52.97.00289</w:t>
      </w:r>
    </w:p>
    <w:p>
      <w:r>
        <w:t>53.98.00002</w:t>
      </w:r>
    </w:p>
    <w:p>
      <w:r>
        <w:t>Lugano</w:t>
      </w:r>
    </w:p>
    <w:p>
      <w:r>
        <w:t>3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ottobre 1997 e sulla petizione 8 aprile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23 settembre 1997, no 4776, del Consiglio di Stato, che rescinde il rapporto d'impiego quale economista presso l'ufficio circondariale di tassazione di __________, rispettivamente su una presunta violazione della parità di trattamento e di opportunità ai sensi della Lpar da parte dello Stato del Canton Ticino nei confronti dell'insorgente;</w:t>
      </w:r>
    </w:p>
    <w:p>
      <w:r>
        <w:t>preso atto che in occasione dell'udienza 23 luglio 1998 la ricorrente ha comunicato di ritirare sia il ricorso, sia la petizione;</w:t>
      </w:r>
    </w:p>
    <w:p>
      <w:r>
        <w:t>considerato pertanto che i procedimenti sono così esauriti;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