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52.2025.75 vom 19. Februar 2025</w:t>
      </w:r>
    </w:p>
    <w:p>
      <w:r>
        <w:t>TI Tribunale d'appello, 2025-02-19, IT</w:t>
      </w:r>
    </w:p>
    <w:p>
      <w:r>
        <w:rPr>
          <w:b/>
        </w:rPr>
        <w:t xml:space="preserve">Quelle: </w:t>
      </w:r>
      <w:r>
        <w:t>https://mcp.opencaselaw.ch/entscheid/ti_gerichte_52.2025.75</w:t>
      </w:r>
    </w:p>
    <w:p>
      <w:r>
        <w:t>FR: TI_GERICHTE 52.2025.75 du 19 février 2025</w:t>
      </w:r>
    </w:p>
    <w:p>
      <w:r>
        <w:t>IT: TI_GERICHTE 52.2025.75 del 19 febbraio 2025</w:t>
      </w:r>
    </w:p>
    <w:p>
      <w:pPr>
        <w:pStyle w:val="Heading2"/>
      </w:pPr>
      <w:r>
        <w:t>Regeste</w:t>
      </w:r>
    </w:p>
    <w:p>
      <w:r>
        <w:t>Revoca preventiva della licenza di condurre con ordine di sottoporsi a perizia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Sulla base delle considerazioni che precedono, il ricorso è respinto.</w:t>
      </w:r>
    </w:p>
    <w:p>
      <w:r>
        <w:rPr>
          <w:b/>
        </w:rPr>
        <w:t>E. 4.2</w:t>
      </w:r>
    </w:p>
    <w:p>
      <w:r>
        <w:t>L'emanazione del presente giudizio rende superflua l'evasione della domanda volta a concedere l'effetto sospensivo al gravame.</w:t>
      </w:r>
    </w:p>
    <w:p>
      <w:r>
        <w:rPr>
          <w:b/>
        </w:rPr>
        <w:t>E. 4.3</w:t>
      </w:r>
    </w:p>
    <w:p>
      <w:r>
        <w:t>Dato l'esito, la tassa di giustizia è posta a carico del ricorrente, secondo soccombenza (art. 47 cpv. 1 LPAmm). Non si assegnano ripetibili (art. 49 cpv. 1 LPAmm). Per questi motivi, decide: 1.   Il ricorso è respinto. 2.   La tassa di giustizia di fr. 1'500.-, già anticipata dal ricorrente, rimane interamente a suo carico. Non si assegnano ripetibili.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Il vicepresidente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