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52.2024.284 vom 20. Juni 2024</w:t>
      </w:r>
    </w:p>
    <w:p>
      <w:r>
        <w:t>TI Tribunale d'appello, 2024-06-20, IT</w:t>
      </w:r>
    </w:p>
    <w:p>
      <w:r>
        <w:rPr>
          <w:b/>
        </w:rPr>
        <w:t xml:space="preserve">Quelle: </w:t>
      </w:r>
      <w:r>
        <w:t>https://mcp.opencaselaw.ch/entscheid/ti_gerichte_52.2024.284</w:t>
      </w:r>
    </w:p>
    <w:p>
      <w:r>
        <w:t>FR: TI_GERICHTE 52.2024.284 du 20 juin 2024</w:t>
      </w:r>
    </w:p>
    <w:p>
      <w:r>
        <w:t>IT: TI_GERICHTE 52.2024.284 del 20 giugno 2024</w:t>
      </w:r>
    </w:p>
    <w:p>
      <w:pPr>
        <w:pStyle w:val="Heading2"/>
      </w:pPr>
      <w:r>
        <w:t>Regeste</w:t>
      </w:r>
    </w:p>
    <w:p>
      <w:r>
        <w:t>Contestazione di una nota universitaria. Interesse a ricorrere. Motivazione insufficiente del ricorso</w:t>
      </w:r>
    </w:p>
    <w:p>
      <w:pPr>
        <w:pStyle w:val="Heading2"/>
      </w:pPr>
      <w:r>
        <w:t>Erwägungen</w:t>
      </w:r>
    </w:p>
    <w:p>
      <w:r>
        <w:rPr>
          <w:b/>
        </w:rPr>
        <w:t>E. 2</w:t>
      </w:r>
    </w:p>
    <w:p>
      <w:r>
        <w:t>e segg. ad art. 43); deve in sostanza trovarsi in un rapporto speciale, stretto e degno di essere preso in considerazione con l'oggetto della controversia; dev'essere colpito in una misura e con un'intensità maggiori rispetto all'insieme dei cittadini (messaggio del Consiglio di Stato n. 6645 del 23 maggio 2012 sulla revisione totale della legge di procedura per le cause amministrative del 19 aprile 1966, p. 37); che per principio non vi è un interesse degno di protezione all'impugnazione delle singole note scolastiche, quando costituiscono un elemento della motivazione della decisione di bocciatura, rispettivamente di promozione, dello studente; che le singole note possono essere contestate a titolo indipendente soltanto se generano delle conseguenze giuridiche pregiudizievoli , quali, ad esempio, il diniego dell'accesso ad un corso o ad una formazione ulteriore o l'ottenimento di una qualifica particolare ( Said Huber/Vera Marantelli-Sonanini , in: Bernhard Waldmann/Philippe Weissenberger [curatori], Praxiskommentar Verwaltungsverfahrensgesetz, II ed., Zurigo/Basilea/Ginevra 2016 , n. 16 ad art. 48, con riferimenti); che nel caso concreto, il ricorrente ha ottenuto il Master con una nota più che sufficiente (7.5); che non è pertanto dato di vedere quale interesse possa vantare all'innalzamento della nota; che tale non è l'eventualità, dallo stesso menzionata, secondo cui una valutazione migliore della tesi ne consentirebbe la pubblicazione sul sito web dell'Università, ciò che gli sarebbe utile per avviare un'attività imprenditoriale in Cina, suo Paese d'origine; l'argomento è di natura meramente ipotetica e si riferisce a un potenziale effetto indiretto della nota contestata ( Markus Müller , Grenzsituationen in der Verwaltungsrechtspflege in: ZBl 120/2019 pag. 295 ss, pag. 312); che di conseguenza, il ricorso deve essere dichiarato irricevibile per carenza di legittimazione attiva (art. 72 cpv. 1 LPAmm); che, in ogni caso, il gravame non adempie nemmeno i requisiti minimi di motivazione esatti dall'art. 70 cpv. 1 LPAmm; che, in primo luogo, il ricorrente non formula precise domande di causa; che inoltre, così come dinanzi all'istanza inferiore, l'insorgente non si confronta minimamente con la valutazione esposta in modo dettagliato nell' Evaluation Committee Report del 12 aprile 2024, limitandosi a chiedere spiegazioni ancora più precise sul giudizio della sua prestazione; che il medesimo non accenna nemmeno a quali aspetti della sua tesi sarebbero stati valutati in modo errato, sebbene il predetto rapporto permetta di comprendere con sufficiente cognizione di causa il parere della giuria di esperti; che, posto quanto precede, il ricorso si rivela inammissibile anche per questo motivo; che, dato l'esito, si prescinde eccezionalmente dal prelievo di una tassa di giustizia (art. 47 cpv. 1 LPAmm); la domanda tendente all'esenzione dagli oneri processuali diviene pertanto priva d'oggetto. Per questi motivi, decide: 1.   Il ricorso è irricevibile . 2.   Non si prelevano né tasse né spese.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4.   Intimazione a: La giudice delegata del Tribunale cantonale amministrativo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