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52.2024.267 vom 19. Juni 2024</w:t>
      </w:r>
    </w:p>
    <w:p>
      <w:r>
        <w:t>TI Tribunale d'appello, 2024-06-19, IT</w:t>
      </w:r>
    </w:p>
    <w:p>
      <w:r>
        <w:rPr>
          <w:b/>
        </w:rPr>
        <w:t xml:space="preserve">Quelle: </w:t>
      </w:r>
      <w:r>
        <w:t>https://mcp.opencaselaw.ch/entscheid/ti_gerichte_52.2024.267</w:t>
      </w:r>
    </w:p>
    <w:p>
      <w:r>
        <w:t>FR: TI_GERICHTE 52.2024.267 du 19 juin 2024</w:t>
      </w:r>
    </w:p>
    <w:p>
      <w:r>
        <w:t>IT: TI_GERICHTE 52.2024.267 del 19 giugno 2024</w:t>
      </w:r>
    </w:p>
    <w:p>
      <w:pPr>
        <w:pStyle w:val="Heading2"/>
      </w:pPr>
      <w:r>
        <w:t>Regeste</w:t>
      </w:r>
    </w:p>
    <w:p>
      <w:r>
        <w:t>Commessa pubblica servizio di trasporto. Esclusione dell'offerta per superamento del preventivo</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La ricorrente è legittimata a contestare la propria esclusione dalla procedura di aggiudicazione: se riammessa in gara, la sua offerta sarebbe l'unica valida e avrebbe pertanto concrete possibilità di ottenere la commessa (art. 15 cpv. 1bis lett. d CIAP e 65 cpv. 1 della legge sulla procedura amministrativa del 24 settembre 2013; LPAmm; RL 165.100). L'abilitazione a contestare l'annullamento del concorso potrà invece esserle riconosciuta solo in caso di accoglimento delle censure rivolte contro la sua estromissione dalla gara (cfr. STA 52.2016.330 del 9 novembre 2016 consid. 1). Il gravame, tempestivo (art. 15 cpv. 2 CIAP), è pertanto ricevibile in ordine.</w:t>
      </w:r>
    </w:p>
    <w:p>
      <w:r>
        <w:rPr>
          <w:b/>
        </w:rPr>
        <w:t>E. 1.2</w:t>
      </w:r>
    </w:p>
    <w:p>
      <w:r>
        <w:t>Il giudizio può essere emanato sulla base degli atti, senza ulteriori accertamenti (art. 25 cpv. 1 LPAmm). Il carteggio completo concernente il concorso prodotto dal committente e l'ulteriore documentazione esibita dall'insorgente con le memorie scritte bastano per statuire sull'impugnativa con cognizione di causa.</w:t>
      </w:r>
    </w:p>
    <w:p>
      <w:r>
        <w:rPr>
          <w:b/>
        </w:rPr>
        <w:t>E. 2.1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3 lett. b e c CIAP, art. 11 lett. a CIAP). Al momento della loro apertura le offerte devono quindi risultare complete, corrette, nonché compilate nel rispetto delle condizioni stabilite dal bando di concorso e della relativa documentazione di gara (cfr. art.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(STF 2C_458/2008 del 15 dicembre 2008 consid. 3.1, 2P.339/2001 del 12 aprile 2002 consid. 5 c/cc in: RDAT II-2002 n. 47 pag. 158 segg.; STA 52.2009.128 del 20 luglio 2009 consid. 6; Matteo Cassina , Principali aspetti del diritto delle commesse pubbliche nel Cantone Ticino, vol. 11 collana gialla CFPG, Lugano 2008, pag. 34).</w:t>
      </w:r>
    </w:p>
    <w:p>
      <w:r>
        <w:rPr>
          <w:b/>
        </w:rPr>
        <w:t>E. 2.2</w:t>
      </w:r>
    </w:p>
    <w:p>
      <w:r>
        <w:t>Nel caso concreto, il bando di concorso prevedeva esplicitamente che le offerte superiori al preventivo di riferimento sarebbero state escluse dal concorso (cfr. supra consid. A).</w:t>
      </w:r>
    </w:p>
    <w:p>
      <w:r>
        <w:rPr>
          <w:b/>
        </w:rPr>
        <w:t>E. 3</w:t>
      </w:r>
    </w:p>
    <w:p>
      <w:r>
        <w:t>La ricorrente sostiene che il preventivo di riferimento sarebbe inattendibile, siccome troppo basso per rapporto a quanto stimato per gli altri due lotti che compongono l'appalto.</w:t>
      </w:r>
    </w:p>
    <w:p>
      <w:r>
        <w:rPr>
          <w:b/>
        </w:rPr>
        <w:t>E. 3.1</w:t>
      </w:r>
    </w:p>
    <w:p>
      <w:r>
        <w:t>Come sopra esposto, il preventivo per il lotto 2 prevede una stima dei costi di fr. 800'000.-. Le prestazioni del lotto 1 e del lotto 3 sono invece state stimate in fr. 1'450'000.-. Le ragioni che hanno guidato il committente nella stima dei costi del lotto 2 sono state ben descritte da quest'ultimo, il quale ha esposto il prezzo pagato per il servizio svolto lo scorso anno scolastico (fr. 128'487.-). Ipotizzando la stessa spesa, arrotondata a fr. 130'000.-, per la durata quinquennale del concorso esso ha ottenuto un importo di fr. 650'000.-. Il committente ha quindi aggiunto un margine del 20%, ottenendo così fr. 780'000.-, che ha poi arrotondato a fr. 800'000.-. L'ente appaltante ha poi illustrato le differenze con gli altri due lotti, in termini di percorso e di possibilità di effettuare trasporti con più utenti. Nemmeno dopo aver preso atto dei dati oggettivi e delle spiegazioni fornite dal committente la ricorrente è stata in grado di sostanziare la sua tesi e apportare elementi che possano far dubitare dell'attendibilità del preventivo. Tant'è che ci si può chiedere se il ricorso non sia da dichiarare irricevibile per carenza di motivazione (art. 70 cpv. 1 LPAmm). Sia come sia, alla luce dei dati forniti dall'ente appaltante, il preventivo appare tutto fuorché allestito al ribasso e non presta il fianco alla critica.</w:t>
      </w:r>
    </w:p>
    <w:p>
      <w:r>
        <w:rPr>
          <w:b/>
        </w:rPr>
        <w:t>E. 3.2</w:t>
      </w:r>
    </w:p>
    <w:p>
      <w:r>
        <w:t>Essendo superiore al preventivo, l'offerta dell'insorgente è stata correttamente esclusa dalla gara in applicazione delle regole del concorso.</w:t>
      </w:r>
    </w:p>
    <w:p>
      <w:r>
        <w:rPr>
          <w:b/>
        </w:rPr>
        <w:t>E. 4</w:t>
      </w:r>
    </w:p>
    <w:p>
      <w:r>
        <w:t>Estromessa a ragione dalla gara, l'insorgente non è legittimata a contestare l'annullamento della stessa. Il ricorso va pertanto respinto nella misura della sua ricevibilità.</w:t>
      </w:r>
    </w:p>
    <w:p>
      <w:r>
        <w:rPr>
          <w:b/>
        </w:rPr>
        <w:t>E. 5</w:t>
      </w:r>
    </w:p>
    <w:p>
      <w:r>
        <w:t>L'emanazione del presente giudizio rende superflua l'evasione della domanda cautelare volta alla concessione dell'effetto sospensivo al ricorso.</w:t>
      </w:r>
    </w:p>
    <w:p>
      <w:r>
        <w:rPr>
          <w:b/>
        </w:rPr>
        <w:t>E. 6</w:t>
      </w:r>
    </w:p>
    <w:p>
      <w:r>
        <w:t>La tassa di giustizia è posta a carico della ricorrente secondo soccombenza (art. 47 cpv. 1 LPAmm). Non si assegnano ripetibili in assenza di parti vincenti patrocinate (art. 49 cpv. 1 LPAmm). Per questi motivi, decide: 1.   Nella misura in cui è ricevibile, il ricorso è respinto . 2.   La tassa di giustizia di fr. 4'500.-, già anticipata dalla ricorrente, resta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