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52.2024.247 vom 28. Mai 2024</w:t>
      </w:r>
    </w:p>
    <w:p>
      <w:r>
        <w:t>TI Tribunale d'appello, 2024-05-28, IT</w:t>
      </w:r>
    </w:p>
    <w:p>
      <w:r>
        <w:rPr>
          <w:b/>
        </w:rPr>
        <w:t xml:space="preserve">Quelle: </w:t>
      </w:r>
      <w:r>
        <w:t>https://mcp.opencaselaw.ch/entscheid/ti_gerichte_52.2024.247</w:t>
      </w:r>
    </w:p>
    <w:p>
      <w:r>
        <w:t>FR: TI_GERICHTE 52.2024.247 du 28 mai 2024</w:t>
      </w:r>
    </w:p>
    <w:p>
      <w:r>
        <w:t>IT: TI_GERICHTE 52.2024.247 del 28 maggio 2024</w:t>
      </w:r>
    </w:p>
    <w:p>
      <w:pPr>
        <w:pStyle w:val="Heading2"/>
      </w:pPr>
      <w:r>
        <w:t>Regeste</w:t>
      </w:r>
    </w:p>
    <w:p>
      <w:r>
        <w:t>Commessa pubblica. Attendibilità dell'offerta</w:t>
      </w:r>
    </w:p>
    <w:p>
      <w:pPr>
        <w:pStyle w:val="Heading2"/>
      </w:pPr>
      <w:r>
        <w:t>Erwägungen</w:t>
      </w:r>
    </w:p>
    <w:p>
      <w:r>
        <w:rPr>
          <w:b/>
        </w:rPr>
        <w:t>E. 4</w:t>
      </w:r>
    </w:p>
    <w:p>
      <w:r>
        <w:t>Secondo l'insorgente, la nota 6 attribuita all'aggiudicataria in relazione al criterio di aggiudicazione tempo di intervento non sarebbe corretta. Essa avrebbe infatti ricevuto la stessa valutazione delle alle altre concorrenti, malgrado sia l'unica ad avere la sede fuori dal Ticino. Il committente ha assegnato la nota 6 alla deliberataria in relazione al predetto criterio di aggiudicazione, avendo essa indicato una tempistica di due giorni lavorativi nell'apposito spazio dell'offerta. Tale valutazione risulta conforme al metodo di valutazione annunciato nel bando di concorso (cfr. supra , consid. A). Nulla permette di inferire che l'aggiudicataria, che peraltro subappalta il ritiro dei rifiuti a un'azienda con sede a Giubiasco, non sia in grado di giungere alla piazza di raccolta comunale entro due giorni dalla chiamata da parte del committente. La tempistica indicata appare del tutto verosimile. Anche questa censura è pertanto destinata all'insuccesso.</w:t>
      </w:r>
    </w:p>
    <w:p>
      <w:r>
        <w:rPr>
          <w:b/>
        </w:rPr>
        <w:t>E. 5</w:t>
      </w:r>
    </w:p>
    <w:p>
      <w:r>
        <w:t>Visto quanto precede, il ricorso deve essere respinto.</w:t>
      </w:r>
    </w:p>
    <w:p>
      <w:r>
        <w:rPr>
          <w:b/>
        </w:rPr>
        <w:t>E. 6</w:t>
      </w:r>
    </w:p>
    <w:p>
      <w:r>
        <w:t>L'emanazione del presente giudizio rende superflua l'evasione della domanda tendente alla concessione dell'effetto sospensivo al ricorso.</w:t>
      </w:r>
    </w:p>
    <w:p>
      <w:r>
        <w:rPr>
          <w:b/>
        </w:rPr>
        <w:t>E. 7</w:t>
      </w:r>
    </w:p>
    <w:p>
      <w:r>
        <w:t>La tassa di giustizia è posta a carico della ricorrente, secondo soccombenza (art. 47 cpv. 1 LPAmm). Non si assegnano ripetibili (art. 49 cpv. 1 LPAmm). Per questi motivi, decide: 1.   Il ricorso è respinto . 2.   La tassa di giustizia di fr. 3'000.-,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nei limiti e alle condizioni di cui all'art. 83 lett. f LTF. 4.   Intimazione a: Per il Tribunale cantonale amministrativo La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