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52.2023.91 vom 27. Februar 2023</w:t>
      </w:r>
    </w:p>
    <w:p>
      <w:r>
        <w:t>TI Tribunale d'appello, 2023-02-27, IT</w:t>
      </w:r>
    </w:p>
    <w:p>
      <w:r>
        <w:rPr>
          <w:b/>
        </w:rPr>
        <w:t xml:space="preserve">Quelle: </w:t>
      </w:r>
      <w:r>
        <w:t>https://mcp.opencaselaw.ch/entscheid/ti_gerichte_52.2023.91</w:t>
      </w:r>
    </w:p>
    <w:p>
      <w:r>
        <w:t>FR: TI_GERICHTE 52.2023.91 du 27 février 2023</w:t>
      </w:r>
    </w:p>
    <w:p>
      <w:r>
        <w:t>IT: TI_GERICHTE 52.2023.91 del 27 febbraio 2023</w:t>
      </w:r>
    </w:p>
    <w:p>
      <w:pPr>
        <w:pStyle w:val="Heading2"/>
      </w:pPr>
      <w:r>
        <w:t>Regeste</w:t>
      </w:r>
    </w:p>
    <w:p>
      <w:r>
        <w:t>Tassa di soggiorno - lingua del procedimento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che è comparsa in causa a tutela dei suoi interessi pecuniari (art. 47 cpv. 6 LPAmm); Per questi motivi, decide: 1.   Il ricorso è accolto. Di conseguenza:</w:t>
      </w:r>
    </w:p>
    <w:p>
      <w:r>
        <w:rPr>
          <w:b/>
        </w:rPr>
        <w:t>E. 1.1</w:t>
      </w:r>
    </w:p>
    <w:p>
      <w:r>
        <w:t>la decisione su reclamo del 27 febbraio 2023 dell'CO 1 è nulla;</w:t>
      </w:r>
    </w:p>
    <w:p>
      <w:r>
        <w:rPr>
          <w:b/>
        </w:rPr>
        <w:t>E. 1.2</w:t>
      </w:r>
    </w:p>
    <w:p>
      <w:r>
        <w:t>gli atti sono rinviati all'CO 1 per nuova decisione ai sensi dei considerandi. 2.   La tassa di giustizia e le spese di fr. 300.- sono poste a carico dell'CO 1. 3.   Contro la presente decisione è dato ricorso in materia di diritto pubblico al Tribunale federale a Losanna entro il termine di 30 giorni dalla sua notificazione (art. 82 segg. della legge sul Tribunale federale del 17 giugno 2005; LTF; RS 173.110). 4.   Intimazione a: . Per il Tribunale cantonale amministrativo La presidente                                                         La vicecancelliere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