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52.2023.305 vom 2. August 2023</w:t>
      </w:r>
    </w:p>
    <w:p>
      <w:r>
        <w:t>TI Tribunale d'appello, 2023-08-02, IT</w:t>
      </w:r>
    </w:p>
    <w:p>
      <w:r>
        <w:rPr>
          <w:b/>
        </w:rPr>
        <w:t xml:space="preserve">Quelle: </w:t>
      </w:r>
      <w:r>
        <w:t>https://mcp.opencaselaw.ch/entscheid/ti_gerichte_52.2023.305</w:t>
      </w:r>
    </w:p>
    <w:p>
      <w:r>
        <w:t>FR: TI_GERICHTE 52.2023.305 du 2 août 2023</w:t>
      </w:r>
    </w:p>
    <w:p>
      <w:r>
        <w:t>IT: TI_GERICHTE 52.2023.305 del 2 agosto 2023</w:t>
      </w:r>
    </w:p>
    <w:p>
      <w:pPr>
        <w:pStyle w:val="Heading2"/>
      </w:pPr>
      <w:r>
        <w:t>Regeste</w:t>
      </w:r>
    </w:p>
    <w:p>
      <w:r>
        <w:t>Richiesta di inoltro di una domanda di costruzione a posteriori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delle insorgenti, personalmente e direttamente toccate dal giudizio impugnato che ha dichiarato irricevibile il loro gravame (art. 65 cpv. 1 LPAmm). Il ricorso, tempestivo (art. 68 cpv. 1 LPAmm), è dunque ricevibile in ordine.</w:t>
      </w:r>
    </w:p>
    <w:p>
      <w:r>
        <w:rPr>
          <w:b/>
        </w:rPr>
        <w:t>E. 1.2</w:t>
      </w:r>
    </w:p>
    <w:p>
      <w:r>
        <w:t>Il giudizio può essere emanato sulla base degli atti, senza istruttoria (art. 25 cpv. 1 LPAmm). Nemmeno le parti sollecitano l'assunzione di particolari prove.</w:t>
      </w:r>
    </w:p>
    <w:p>
      <w:r>
        <w:rPr>
          <w:b/>
        </w:rPr>
        <w:t>E. 2</w:t>
      </w:r>
    </w:p>
    <w:p>
      <w:r>
        <w:t>Le ricorrenti rimproverano anzitutto al Governo una violazione del loro diritto di essere sentite per carenza di motivazione del giudizio impugnato, che non si sarebbe soffermato sulla condizione d'impugnabilità dell'art. 66 cpv. 2 lett. a LPAmm.</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In concreto, come visto in narrativa, il Governo si è confrontato con la natura incidentale della decisione municipale e le condizioni d'impugnabilità poste dall'art. 66 cpv. 2 LPAmm, segnatamente dalla lett. b: ha in particolare spiegato perché non era possibile rendere subito una decisione finale, soffermandosi pure sul tema relativo alla procedura defatigante o dispendiosa. Il Governo ha poi ritenuto non dato per scontato che verrà richiesto l'EIA , ma anche se lo fosse - ha aggiunto - non sarebbe questo il motivo, prettamente economico, per non inoltrare una domanda a posteriori a causa dei costi che lo stesso comporterebbe , precisando infine come anche nei casi dubbi andrebbe sollecitato l'avvio di un procedimento edilizio. Ora, pur non avendo espressamente richiamato l'art. 66 cpv. 2 lett. a LPAmm, v'è da ritenere che con tale argomentazione il Governo abbia essenzialmente inteso trattare, perlomeno implicitamente, anche questa norma e la relativa censura delle insorgenti (secondo cui l'ordine provocherebbe un pregiudizio irreparabile , perché imporrebbe l'elaborazione complessa e molto onerosa di un esame di impatto ambientale, che non sarebbe richiesto o necessario , cfr. replica al Governo pag. 6). La fondatezza o meno dei motivi addotti dalla precedente istanza è invece questione di merito. Tutto sommato, non è quindi ravvisabile una violazione dell'obbligo di motivazione. Ad ogni modo, qualsivoglia lesione del diritto di essere sentito andrebbe ora considerata sanata, atteso che le insorgenti hanno potuto difendersi compiutamente in questa sede, riproponendo e sviluppando i loro argomenti (cfr. STA 52.2022.149 del 17 maggio 2023 consid. 2, 52.2021.216 del 2 agosto 2021 consid. 2). Per finire, u n rinvio degli atti al Governo costituirebbe una sterile for malità, in un'ottica di economia processuale.</w:t>
      </w:r>
    </w:p>
    <w:p>
      <w:r>
        <w:rPr>
          <w:b/>
        </w:rPr>
        <w:t>E. 3</w:t>
      </w:r>
    </w:p>
    <w:p>
      <w:r>
        <w:t>e 5, in RtiD I-2021 n. 12), il quale, pronunciandosi su un'ingiunzione di presentare una domanda di costruzione a posteriori per la trasformazione di un piano cantina in appartamento - richiamata anche la giurisprudenza del Tribunale federale in materia - ha rilevato come tale ordine non risolvesse definitivamente la questione a sapere se fossero o meno realizzati gli estremi di un cambiamento di destinazione soggetto a licenza edilizia rispettivamente se quest'ultimo potesse o meno essere approvato. Ha inoltre ricordato che - diversamente dalla prassi vigente sotto la vecchia legge di procedura per le cause amministrative - in base alla LPAmm non sono ora più considerate finali, ma incidentali, le decisioni che statuiscono su uno o più punti litigiosi, ma non su tutti. Richiamato pure l 'interesse ad una congruente interpretazione del diritto processuale federale e cantonale - e risolvendo un quesito lasciato aperto (cfr. STA 52.2019.144 del 6 marzo 2020 consid. 2.3) -, questo Tribunale ha quindi modificato la propria prassi, per conformarla a quella federale: l'ordine di presentare una domanda di costruzione va pertanto considerato quale decisione incidentale, che non mette fine alla procedura edilizia, ma implica unicamente l'esigenza di dare avvio a una procedura formale che, con la collaborazione del proprietario, permette di verificare compiutamente gli aspetti di legittimità materiale degli interventi. Un tale provvedimento è quindi impugnabile soltanto alle restrittive condizioni poste dall'art. 66 cpv. 2 LPAmm (cfr. STA 52.2018.545 citata consid. 3.3 e 5; cfr. pure, tra le altre successive, STA 52.2019.390 del 16 novembre 2021 consid. 2, 52.2021.119 del 27 giugno 2022 consid. 2, 52.2019.465 del 30 dicembre 2022 consid. 2 e STF 1C_66/2023 del 23 febbraio 2023).</w:t>
      </w:r>
    </w:p>
    <w:p>
      <w:r>
        <w:rPr>
          <w:b/>
        </w:rPr>
        <w:t>E. 3.1</w:t>
      </w:r>
    </w:p>
    <w:p>
      <w:r>
        <w:t>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(cfr. Bernhard Waldmann, Bauen ohne Baubewilligung? Von klaren und den Zweifelsfällen, in: Hubert Stöckli (ed.), Schweizerische Baurechtstagung, Friborgo 2017, pag. 56 e rif. ivi citati).</w:t>
      </w:r>
    </w:p>
    <w:p>
      <w:r>
        <w:rPr>
          <w:b/>
        </w:rPr>
        <w:t>E. 3.2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della legge federale sulla pianificazione del territorio del 22 giugno 1979 [LPT; RS 770]).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del resto particolari conseguenze. Il proprietario che non ottempera all'ordine non è in particolare passibile di sanzioni; perde soltanto l'occasione di sottoporre all'autorità informazioni di cui quest'ultima eventualmente non dispone (cfr. RDAT I-2003 n. 34 consid. 2.2; STA 52.2017.469 citata consid. 2.2, 52.2006.181 dell'11 luglio 2006).</w:t>
      </w:r>
    </w:p>
    <w:p>
      <w:r>
        <w:rPr>
          <w:b/>
        </w:rPr>
        <w:t>E. 3.3</w:t>
      </w:r>
    </w:p>
    <w:p>
      <w:r>
        <w:t>Anche se non mette fine alla procedura, per prassi costante già sviluppata in applicazione dell'art. 44 della previgente legge di procedura per le cause amministrative del 19 aprile 1966 (LPamm; BU 1966, 181), l'ordine di presentare una domanda in sanatoria era considerato alla stregua di un provvedimento impugnabile, nella misura in cui presuppone e sottintende l'accertamento dell'inesistenza di un valido titolo che autorizzi l'opera edilizia in quanto tale, rispettivamente la sua utilizzazione (destinazione). Tale prassi è stata tuttavia rivista dal Tribunale cantonale amministrativo (STA 52.2018.545 del 13 ottobre 2020 consid.</w:t>
      </w:r>
    </w:p>
    <w:p>
      <w:r>
        <w:rPr>
          <w:b/>
        </w:rPr>
        <w:t>E. 3.4</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del 29 dicembre 2020, 52.2015.36 citata consid. 2.3.1, 52.2014.238 del 25 giugno 2015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52.2014.238 citata e rimandi ).</w:t>
      </w:r>
    </w:p>
    <w:p>
      <w:r>
        <w:rPr>
          <w:b/>
        </w:rPr>
        <w:t>E. 4.1</w:t>
      </w:r>
    </w:p>
    <w:p>
      <w:r>
        <w:t>In concreto, come visto, il Governo ha confermato l'ordine rivolto alle ricorrenti di presentare una domanda di costruzione a posteriori per l'attività svolta sul fondo in questione. Ora è pacifico che tale provvedimento - alla luce della giurisprudenza sopraesposta (consid. 3.3) e come già indicato nel precedente giudizio (STA 52.2022.258 citata consid. 4.1) - costituisca una decisione di natura incidentale, impugnabile unicamente alle restrittive condizioni poste dall'art. 66 cpv. 2 LPAmm.</w:t>
      </w:r>
    </w:p>
    <w:p>
      <w:r>
        <w:rPr>
          <w:b/>
        </w:rPr>
        <w:t>E. 4.2</w:t>
      </w:r>
    </w:p>
    <w:p>
      <w:r>
        <w:t>La decisione, contrariamente a quanto eccepiscono le ricorrenti, non appare tuttavia suscettibile di cagionare un pregiudizio irreparabile ai sensi dell'art. 66 cpv. 2 lett. a LPAmm: un simile pregiudizio non può in particolare essere ravvisato nel semplice obbligo di presentare una domanda di costruzione, nel solo prolungamento della procedura o nell'aumento dei costi legati alla causa. Non porta ad altra conclusione il richiamo delle ricorrenti all'esame d'impatto ambientale, che non è comunque ancora stato richiesto dall'autorità di prime cure. In assenza dei necessari accertamenti fattuali e giuridici sull'attività concretamente svolta, a questo stadio non sarebbe peraltro ancora possibile pronunciarsi compiutamente su tale aspetto. Il contestato provvedimento non risolve del resto neppure definitivamente il quesito relativo alla necessità o meno di una licenza edilizia. Per queste stesse ragioni, un pregiudizio non è ravvisabile nemmeno nella generica obiezione secondo cui la presentazione di una domanda di costruzione implicherebbe l'applicazione della nuova pianificazione intercomunale del __________ , che imporrebbe nuovi vincoli. Al proposito va peraltro ricordato che alle domande di costruzione in sanatoria è di regola applicabile la pianificazione vigente al momento in cui l'opera è stata realizzata, a meno che il diritto entrato successivamente in vigore risulti più favorevole al costruttore (cfr. DTF 123 II 248 consid. 3a/bb; STF 1C_480/2019 del 16 luglio 2020 consid. 3.2) o che sussistano motivi imperativi che impongano l'immediata applicazione del nuovo diritto (come è il caso nel settore della legislazione sulle acque e della protezione della natura e del paesaggio o dell'ambiente; cfr. STF 1C_22/2019 del 6 aprile 2020 consid. 8.2 non pubbl. in DTF 146 II 304 e rimandi).</w:t>
      </w:r>
    </w:p>
    <w:p>
      <w:r>
        <w:rPr>
          <w:b/>
        </w:rPr>
        <w:t>E. 4.3</w:t>
      </w:r>
    </w:p>
    <w:p>
      <w:r>
        <w:t>Certo è inoltre che nella fattispecie non sono neppure date le condizioni di cui all'art. 66 cpv. 2 lett. b LPAmm. Il Tribunale non potrebbe in particolare rendere una decisione finale, stabilendo segnatamente che il controverso uso del fondo è già stato autorizzato, sfugge all'obbligo di licenza edilizia o è manifestamente al beneficio della tutela delle situazioni acquisite. Allo stadio attuale, in mancanza di accertamenti più precisi, nulla permette di ritenere che l'attività svolta dal 2015 dalla RI 1 sia da sempre in essere sul fondo . Attività che appare tra l'altro contraddistinta dalla presenza di importanti cumuli di inerti a cielo aperto e che, stando agli stessi rapporti delle insorgenti, comporta almeno l a movimentazione di oltre 75'000 t all'anno di materiale di scavo (in entrata e in uscita), oltre a 11'000 t di macerie da demolizione (in entrata e in uscita; cfr. incarto Municipio, rapporto d'attività del 2019 della piattaforma di riciclaggio e esportazione materiale non inquinato; cfr. pure le diverse fotografie agli atti). In particolare, dagli atti non risulta che già in precedenza la proprietaria del fondo (RI 2) svolgesse legittimamente da decenni un'impresa che - per dimensionamento, intensità e tipologia - fosse analoga a quella della sua locataria (cfr. incarto Municipio, commento alla documentazione fotografica e dichiarazione della RI 2 del 22 luglio 2015 che descrive in modo sommario le attività sul fondo dal 1959 e un suo uso per il deposito temporaneo di materiali). Non è inoltre possibile affermare che il controverso insediamento - che implica necessariamente notevoli flussi di mezzi pesanti, con un sicuro impatto sull'ambiente circostante (emissioni di polveri, rumori, ripercussioni sulle acque superficiali e sotterranee; peraltro già oggetto di un referto prodotto dalla vicina che ha messo in discussione il rispetto delle normative ambientali applicabili, cfr. valutazione impatto ambientale attività RI 1 della __________ del 4 giugno 2020) - sia già stato autorizzato dalle autorità preposte. Non è segnatamente dato di vedere come possa essere sorretto dall' autorizzazione del 6 ottobre 2015 rilasciata dal Municipio senza particolari formalità, prescindendo da una procedura edilizia ordinaria e senza interpellare l'autorità dipartimentale competente ad applicare, tra l'altro, la legislazione in materia di protezione dell'ambiente o delle acque ( supra consid. Bb). Tanto meno come possa essere coperto dai successivi atti o permessi concessi dal Municipio o dalla DEP per singoli interventi (per lo più previa semplice notifica, non pubblicata e non trasmessa ai Servizi generali del Dipartimento del territorio, supra consid. Bc). A questo stadio, risulta quindi giustificato l'obbligo di inoltrare una domanda di costruzione a posteriori per intervenuto cambiamento di destinazione (cfr. al riguardo: STA 52.2019.325 del 31 maggio 2021 consid. 3, 52.2019.128 del 20 maggio 2021 consid. 3 e rimandi). In mancanza di chiari accertamenti fattuali (sull'estensione dell'attività, delle ripercussioni generate, ecc.) e vista la necessità di una loro valutazione accurata nell'ambito dell'esame della domanda di costruzione, non è in ogni caso possibile rendere subito un giudizio finale. Già solo per questo motivo, neppure l'art. 66 cpv. 2 lett. b LPAmm risulta quindi soddisfatto. In conclusione, il giudizio impugnato va quindi confermato, siccome immune da violazioni del diritto.</w:t>
      </w:r>
    </w:p>
    <w:p>
      <w:r>
        <w:rPr>
          <w:b/>
        </w:rPr>
        <w:t>E. 5.1</w:t>
      </w:r>
    </w:p>
    <w:p>
      <w:r>
        <w:t>Sulla base delle considerazioni che precedono, il ricorso è respinto.</w:t>
      </w:r>
    </w:p>
    <w:p>
      <w:r>
        <w:rPr>
          <w:b/>
        </w:rPr>
        <w:t>E. 5.2</w:t>
      </w:r>
    </w:p>
    <w:p>
      <w:r>
        <w:t>Dato l'esito, la tassa di giustizia (art. 47 cpv. 1 LPAmm) è posta a carico delle insorgenti. Non si assegnano ripetibili (art. 49 cpv. 2 LPAmm). Per questi motivi, decide: 1.   Il ricorso è respinto. 2.   La tassa di giustizia di fr. 1'500.-, già anticipata dalle insorgenti, resta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