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52.2022.410 vom 9. November 2022</w:t>
      </w:r>
    </w:p>
    <w:p>
      <w:r>
        <w:t>TI Tribunale d'appello, 2022-11-09, IT</w:t>
      </w:r>
    </w:p>
    <w:p>
      <w:r>
        <w:rPr>
          <w:b/>
        </w:rPr>
        <w:t xml:space="preserve">Quelle: </w:t>
      </w:r>
      <w:r>
        <w:t>https://mcp.opencaselaw.ch/entscheid/ti_gerichte_52.2022.410</w:t>
      </w:r>
    </w:p>
    <w:p>
      <w:r>
        <w:t>FR: TI_GERICHTE 52.2022.410 du 9 novembre 2022</w:t>
      </w:r>
    </w:p>
    <w:p>
      <w:r>
        <w:t>IT: TI_GERICHTE 52.2022.410 del 9 novembre 2022</w:t>
      </w:r>
    </w:p>
    <w:p>
      <w:pPr>
        <w:pStyle w:val="Heading2"/>
      </w:pPr>
      <w:r>
        <w:t>Regeste</w:t>
      </w:r>
    </w:p>
    <w:p>
      <w:r>
        <w:t>Licenza edilizia a posteriori per la modifica della sistemazione esterna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Sulla base delle considerazioni che precedono, nella misura in cui è ricevibile, il ricorso è respinto.</w:t>
      </w:r>
    </w:p>
    <w:p>
      <w:r>
        <w:rPr>
          <w:b/>
        </w:rPr>
        <w:t>E. 4.2</w:t>
      </w:r>
    </w:p>
    <w:p>
      <w:r>
        <w:t>Dato l'esito, la tassa di giustizia (art. 47 cpv. 1 LPAmm) è posta a carico degli insorgenti, soccombenti. Gli stessi sono inoltre tenuti a rifondere al Comune, che non dispone di un servizio giuridico e si è avvalso dell'assistenza di un legale, un'adeguata indennità a titolo di ripetibili per questa sede (art. 49 cpv. 1 e 2 LPAmm). Per questi motivi, decide: 1.   Nella misura in cui è ricevibile, il ricorso è respinto . 2.   La tassa di giustizia di fr. 1'800.-, già anticipata dai ricorrente, resta interamente a loro carico, in solido. Gli stessi sono tenuti a rifondere al Comune di Monteceneri l'importo di fr. 1'500.- a titolo di ripetibili per questa sede.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La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