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52.2022.389 vom 24. Oktober 2022</w:t>
      </w:r>
    </w:p>
    <w:p>
      <w:r>
        <w:t>TI Tribunale d'appello, 2022-10-24, IT</w:t>
      </w:r>
    </w:p>
    <w:p>
      <w:r>
        <w:rPr>
          <w:b/>
        </w:rPr>
        <w:t xml:space="preserve">Quelle: </w:t>
      </w:r>
      <w:r>
        <w:t>https://mcp.opencaselaw.ch/entscheid/ti_gerichte_52.2022.389</w:t>
      </w:r>
    </w:p>
    <w:p>
      <w:r>
        <w:t>FR: TI_GERICHTE 52.2022.389 du 24 octobre 2022</w:t>
      </w:r>
    </w:p>
    <w:p>
      <w:r>
        <w:t>IT: TI_GERICHTE 52.2022.389 del 24 ottobre 2022</w:t>
      </w:r>
    </w:p>
    <w:p>
      <w:pPr>
        <w:pStyle w:val="Heading2"/>
      </w:pPr>
      <w:r>
        <w:t>Regeste</w:t>
      </w:r>
    </w:p>
    <w:p>
      <w:r>
        <w:t>Sanzione disciplinare</w:t>
      </w:r>
    </w:p>
    <w:p>
      <w:pPr>
        <w:pStyle w:val="Heading2"/>
      </w:pPr>
      <w:r>
        <w:t>Erwägungen</w:t>
      </w:r>
    </w:p>
    <w:p>
      <w:r>
        <w:rPr>
          <w:b/>
        </w:rPr>
        <w:t>E. 1</w:t>
      </w:r>
    </w:p>
    <w:p>
      <w:r>
        <w:t>. La competenza del Tribunale cantonale amministrativo è data dall'art. 28 cpv. 1 della legge sull'avvocatura del 13 febbraio 2012 (LAvv; RL 951.100).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 e può essere evaso sulla base degli atti, senza istruttoria (art. 25 cpv. 1 LPAmm).</w:t>
      </w:r>
    </w:p>
    <w:p>
      <w:r>
        <w:rPr>
          <w:b/>
        </w:rPr>
        <w:t>E. 2</w:t>
      </w:r>
    </w:p>
    <w:p>
      <w:r>
        <w:t>ad art. 17). 5.   5.1. Sulla base delle considerazioni che precedono, il ricorso deve essere respinto, con conseguente conferma della decisione impugnata. 5.2. Dato l'esito, la tassa di giustizia (art. 47 cpv. 1 LPAmm) è posta a carico dell'insorgente, secondo soccombenza. Per questi motivi, decide: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r>
        <w:rPr>
          <w:b/>
        </w:rPr>
        <w:t>E. 2.1</w:t>
      </w:r>
    </w:p>
    <w:p>
      <w:r>
        <w:t>e rif.).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Walter Fellmann, Anwalts-recht, II ed., Berna 2017, n. 388).</w:t>
      </w:r>
    </w:p>
    <w:p>
      <w:r>
        <w:rPr>
          <w:b/>
        </w:rPr>
        <w:t>E. 2.2</w:t>
      </w:r>
    </w:p>
    <w:p>
      <w:r>
        <w:t>D 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(cfr. DTF 145 IV 218 consid.</w:t>
      </w:r>
    </w:p>
    <w:p>
      <w:r>
        <w:rPr>
          <w:b/>
        </w:rPr>
        <w:t>E. 2.3</w:t>
      </w:r>
    </w:p>
    <w:p>
      <w:r>
        <w:t>Il dovere di fedeltà verso il mandante perdura anche dopo la fine del rapporto contrattuale: in particolare, l a possibilità di agire in qualità di patrocinatore contro un ex cliente deve essere verificata dall'avvocato con la massima diligenza, tenendo conto delle particolarità del singolo caso. In genere,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(cfr. DTF 145 IV 218 consid. 2.1 e rimandi).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più stretto il rapporto di fiducia instauratosi. Importante è pure il tempo trascorso, benché anche dopo anni possano riaffiorare ricordi di fatti apparentemente dimenticati (cfr. STF 2C_87/2021 del 29 aprile 2021 consid. 3.1, 2C_427/2009 del 25 marzo 2010 consid. 2.2 e rinvii, 2A.535/2005 del 17 febbraio 2006 consid. 3.2 e rimandi; STA 52.2018.409 del 7 agosto 2019 consid. 2.2, confermata da STF 2C_795/2019 del 13 febbraio 2020 consid. 7).</w:t>
      </w:r>
    </w:p>
    <w:p>
      <w:r>
        <w:rPr>
          <w:b/>
        </w:rPr>
        <w:t>E. 2.4</w:t>
      </w:r>
    </w:p>
    <w:p>
      <w:r>
        <w:t>Il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145 IV 218 consid. 2.1, 135 II 145 consid. 9.1; STA 52.2018.409 citata consid. 2.4, confermata dal TF).</w:t>
      </w:r>
    </w:p>
    <w:p>
      <w:r>
        <w:rPr>
          <w:b/>
        </w:rPr>
        <w:t>E. 2.5</w:t>
      </w:r>
    </w:p>
    <w:p>
      <w:r>
        <w:t>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 Essi sono in particolare ripresi dall'art. 11 del previgente codice svizzero di deontologia del 10 giugno 2005 (CSD, abrogato con il nuovo codice entrato in vigore il 1° luglio 2023),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3.   3.1. In concreto, come accennato in narrativa, dopo che erano emerse delle difficoltà sul cantiere a causa di litigi tra la ditta appaltatrice A__________ rispettivamente i suoi azionisti (P__________ e la x__________) e la ditta subappaltatrice S__________, l'avv.RI 1, già legale del committente C__________, ha assunto anche la difesa degli interessi di P__________ e della S__________. In particolare, ha elaborato due convenzioni, firmate il 15 giugno 2015, con cui la A__________ ha ceduto alla S__________ i contratti d'appalto per le opere di fornitura e posa dei pavimenti e dei balconi. Questi accordi contemplavano diverse clausole, attinenti ai contratti (in particolare agli importi a forfait per le opere, cfr. punti 4 e 6) e ai rapporti di dare-avere tra gli interessati (tra cui la pattuizione di un pagamento di complessivi fr. 43'221.05 della A__________ a P__________). A seguito di ulteriori vicissitudini, il 1°/2 settembre 2015 gli interessati hanno poi firmato una terza convenzione, diretta alla cessione delle azioni di P__________ alla x__________ e alla tacitazione delle diverse pretese. L'accordo prevedeva tra l'altro la seguente clausola relativa al credito di P__________ (punto 4): "Per quanto attiene all'impegno, come da Convenzioni 15.06.2015, di A__________ [..] di procedere al versamento a […] e a P__________ dell'importo di CHF 43'221.05 cadauno, si conviene che: i) il Sig. C__________ anticiperà CHF 43'221.05 a P__________ fornendo atto a A__________ [..], ritenuto che effettuato tale pagamento C__________ è in seguito autorizzato con la presente da A__________ [..] e da __________ [..] a compensare il suddetto importo (CHF 43'221.05) con la successiva richiesta di acconto che __________ effettuerà nei suoi confronti in relazione alla fornitura di pietra o rubinetteria [..]. A__________ [..], __________ e C__________ sottoscrivono la presente per accordo e accettazione. [..]" Tale convenzione è stata elaborata dal legale della A__________ (avv. __________), con la partecipazione anche di C__________ e dell'avv. RI 1, che l'ha poi sottoscritta in rappresentanza di P__________. Tra febbraio e settembre del 2017, come detto, la S__________ ha poi avviato diverse procedure contro C__________ (o la sua società), in particolare per l'incasso della mercede e l'iscrizione di ipoteche legali degli artigiani. Nel luglio 2017, P__________ ha inoltre promosso contro C__________ un procedimento per il pagamento del predetto credito di fr. 43'221.05 (rimasto insoluto). In queste diverse procedure, l'avv. RI 1 è sempre intervenuto quale rappresentante di C__________. Nella causa relativa al credito di fr. 43'221.05 (inc. OR.___.189), P__________ ha anche chiesto la sua audizione testimoniale; il legale si è tuttavia rifiutato di deporre, prevalendosi del segreto professionale. 3.2. Nella decisione impugnata la Commissione - appurato che i segnalanti andavano considerati veri e propri ex clienti dell'avvocato - ha essenzialmente ritenuto impossibile escludere che C__________ non fosse a conoscenza di tutte le informazioni relative al primo mandato. Situazione, questa, che, nel secondo incarico, avrebbe appunto posto il legale in un conflitto d'interessi. Il ricorrente contesta tale conclusione, ribadendo in particolare di non essere stato in possesso di informazioni concernenti il primo mandato non note a C__________. Qualsivoglia conflitto d'interessi sarebbe del resto escluso dal successivo comportamento dei segnalanti che, per atti concludenti, lo avrebbero svincolato dal suo segreto professionale. 3.3. Ora, non v'è anzitutto alcun dubbio che P__________ e la S__________ debbano essere considerati ex clienti del ricorrente, come rettamente concluso dalla Commissione. È infatti manifesto che, nell'ambito delle convenzioni stipulate nel 2015, egli abbia rappresentato i loro interessi. Poco conta che sarebbe intervenuto su richiesta del suo cliente C__________ e anche a suo favore. Il rapporto di rappresentanza emerge del resto chiaramente dalle diverse richieste di acconto e parcelle legali (cfr. doc. A-D allegati alla segnalazione), oltre che dalla corrispondenza agli atti (cfr. ad es. e-mail del 23 luglio 2015, plico doc. G; scritti del 3 e 16 luglio 2015, plico doc. 6 prodotto alla Commissione), come pure dalla convenzione che egli ha sottoscritto per conto di P__________. Manifesto è inoltre che tra l'oggetto del mandato svolto a favore di P__________ e della S__________ e quello delle procedure civili in cui - solo poco più di un anno dopo - ha assunto il patrocinio di C__________ (o della sua società) contro di loro sussiste una stretta connessione. In particolare, le procedure civili promosse dalla S__________ contro C__________ per l'incasso delle fatture e l'iscrizione delle ipoteche legali riguardano infatti gli stessi contratti d'appalto oggetto delle due convenzioni del 15 giugno 2015, che il legale ha allestito rappresentando i loro interessi (cfr. istanze di cui al doc. 10 e atti procedurali del 1° ottobre 2019 di cui ai doc. C e D; cfr. pure decisione del 25 giugno 2019 pag. 2, doc. E); convenzioni che si erano peraltro anche espresse sugli importi pattuiti (cfr. punti 4 e 6). Già da questo profilo, non è quindi possibile escludere un uso, magari inconsapevole, da parte del ricorrente di informazioni riguardanti tali contratti, coperte dal segreto professionale, nel contesto delle successive procedure giudiziarie. Ciò che basta ai fini dell'esistenza di un conflitto di interessi (cfr. STF 2C_87/2021 citata consid. 3.4 e rimandi), a prescindere dal fatto che il secondo mandato possa anche riguardare fatti intervenuti dopo la stipula delle convenzioni. Ancor più manifesta è poi la connessione per il patrocinio che ha assunto a favore di C__________ nella vertenza promossa da P__________ per l'incasso del credito di fr. 43'221.05 (inc. OR.___.189): tale causa si fonda infatti proprio sulle suddette convenzioni del 2015, e in particolare su quella del 1°/2 settembre 2015 e il già citato punto n. 4 lett. i (di cui è in questione l'interpretazione e l'adempimento). Convenzione - seppur perfezionata dall'avv. __________ - a cui anche il ricorrente ha all'evidenza partecipato (cfr. ad es. scritto del 24 luglio 2015 e e-mail del 26 agosto 2015 dell'avv. __________, che trasmette al ricorrente le convenzioni nei termini convenuti , doc. H e I) e che ha firmato, rappresentando P__________. Invano il ricorrente tenta quindi di sminuire il suo ruolo. Basta del resto leggere la petizione agli atti (cfr. doc. F) per rendersi conto della forte corrispondenza fra i due mandati. Tant'è che, citato quale teste in qualità di estensore delle varie convenzioni in particolare del doc. E, nonché sottoscrittore dello stesso in nome e per conto di  P__________ come da procura allegata [..] (cfr. replica di cui al doc. L), l'insorgente si è trincerato dietro al segreto professionale. 3.4. A torto il ricorrente, richiamando la dottrina, esclude qualsiasi conflitto d'interessi poiché durante il primo mandato vi sarebbe stata, tra i segnalanti e C__________, piena condivisione delle informazioni, cosicché non sarebbe stato in possesso di conoscenze diverse rispetto a lui. È ben vero che parte della dottrina sostiene che il rischio per un avvocato di fare uso nello svolgimento di un nuovo mandato di conoscenze confidenziali acquisite nell'ambito di un precedente incarico riguardi unicamente informazioni che non potrebbero essergli fornite direttamente dal suo nuovo cliente (cfr. Fellmann , op. cit., n. 409 e rif.). Come già stabilito da questo Tribunale (cfr. STA 52.2022.190 del 24 aprile 2023 consid. 4.2, in RtiD II-2023 n. 67), pure in caso di condivisione delle informazioni, tenuto anche conto del dovere di fedeltà che gli incombe, permane comunque per l'avvocato il divieto di utilizzarle contro il suo ex cliente nell'ambito di un nuovo mandato strettamente connesso al primo (cfr. in tal senso Testa , op. cit., pag. 117 segg.; Fellmann , ibidem ; cfr. pure decisione RT190181-O/U del 12 febbraio 2020 dell'Obergericht Zürich consid. 3.1), come in concreto. 3.5. Nulla può dedurre a suo favore il ricorrente dal fatto che siano stati i segnalanti stessi a coinvolgerlo nelle predette procedure giudiziarie (indicandolo come rappresentante di C__________, cfr. allegati di cui doc. 10 prodotti alla Commissione). Nemmeno l'eventuale consenso degli ex clienti al nuovo patrocinio avrebbe infatti messo l'insorgente al riparo dalla critica di violazione del divieto di conflitti d'interesse (cfr. RJN 2008 pag. 402; Testa , op. cit., pag. 115; Bohnet/Martenet , op. cit., n. 1441). Indipendentemente dalle modalità con cui è stato trascinato nelle cause giudiziarie, in concreto il ricorrente avrebbe dovuto rimettere il mandato a favore di C__________ (e della sua società). Irrilevante è che la situazione sia stata a lungo tollerata dai segnalanti, che hanno presentato il loro esposto alla Commissione soltanto circa cinque anni dopo l'avvio delle predette procedure giudiziarie. Segnalazione che, all'evidenza, è stata inoltrata nel momento in cui il concreto conflitto d'interessi si è addirittura materializzato, con il rifiuto del ricorrente di deporre. In queste circostanze, non porta ad altre conclusioni il fatto che la Pretura non abbia ravvisato il conflitto. 3.6. D a tutto quanto sopra discende che il ricorrente avrebbe dovuto verificare con maggiore attenzione l'opportunità di patrocinare C__________ contro i suoi ex clienti S__________ e P__________ (i cui interessi erano chiaramente contrapposti), nell'ambito delle cause civili riguardanti i medesimi rapporti contrattuali oggetto del precedente mandato e quindi giungere alla conclusione che tale ruolo l'avrebbe posto di fronte a un concreto rischio di conflitto d'interessi . Tanto più che, in casi dubbi, di una tale situazione va presunta l'esistenza (cfr. STF 2C_427/2009 del 25 marzo 2010 consid. 2.2, 2A.594/2004 del 28 ottobre 2004 consid. 1.2). In queste circostanze, non rinunciando subito al predetto mandato, l'insorgente è quindi incorso in una violazione dell'art. 12 lett. c LLCA.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52.2021.6/7 del 24 gennaio 2022 consid. 5.1 ; Bohnet/Martenet, op. cit., n. 2178, 2183-2187; Tomas Poledna, in: Walter Fellmann/Gaudenz G. Zindel [curatori], Kommentar zum Anwaltsgesetz, II ed., Zurigo 2011, n. 23 segg. ad art. 17). 4.2. In concreto, la Commissione ha ritenuto che la disattenzione dell'insorgente fosse di una certa gravità , atteso come egli avesse violato in maniera evidente un chiaro disposto legale che ha quale scopo essenziale di tutelare oltre agli interessi dei clienti, presenti e passati, anche il buon nome della categoria . In assenza di segni di autocritica, ha quindi ritenuto giustificato infliggergli una multa di fr. 800.-. Ora, seppur assai stringata, una tale motivazione permette di comprendere che la precedente istanza ha considerato che la violazione commessa presentava una gravità non trascurabile e che ha implicitamente tenuto conto anche dell'incensuratezza dell'interessato (ciò che ha del resto recepito anche il ricorrente quando ha criticato la Commissione per avere applicato in concreto la "tariffa" valida nel caso in cui l'avvocato non abbia precedenti; cfr. ricorso, punto n. 44, pag. 15). Permette dunque di desumere con sufficiente chiarezza gli elementi ritenuti dalla Commissione nella commisurazione della sanzione. Commisurazione che, invero, non presta il fianco a critiche neanche nel merito. In effetti, il ricorrente ha infranto in modo piuttosto grave una regola professionale fondamentale qual è quella che vieta di incorrere in conflitti d'interesse. Conflitto che, in concreto, si è addirittura materializzato, allorquando ha rifiutato la testimonianza richiesta dai segnalanti e disposta dal pretore. Vista la sua esperienza professionale, avrebbe dovuto accorgersi della problematicità del patrocinio contro i suoi ex mandanti. Nulla può invece dedurre a suo vantaggio dall'asserito tempo trascorso dai fatti, ritenuto che la violazione si è protratta fino al 21 gennaio 2022, quando cioè ha cessato di rappresentare C__________ e __________ SA. Depone per contro a suo favore la circostanza che, durante la sua lunga carriera, non è mai stato oggetto di una sanzione disciplinare. Alla luce di tutto quanto esposto e tenuto conto del margine di apprezzamento che va riconosciuto alla Commissione in questo ambito, si giustifica pertanto di confermare la multa di fr. 800.- inflitta dalla precedente istanza per la violazione di cui si è detto. L a sanzione così commisurata, situata attorno al limite inferiore di quanto prescritto dalla norma, risulta adeguatamente ragguagliata alle circostanze del caso concreto e rispettosa dei principi della proporzionalità e della parità di trattamento. Tiene adeguatamente conto dell'incensuratezza del ricorrente e appare sufficiente a richiamarlo al rispetto dei principi deontologici che sono stati in concreto disattesi. 4.3. Invano l'insorgente pretende infine che, visto lo scopo preventivo delle sanzioni disciplinari, non sia necessario o opportuno infliggergli una tale misure poiché sarebbe del tutto improbabile, vista anche la sua età (oggi 66 anni), che una situazione particolare come quella in discussione possa riproporsi nella sua vita professionale. Nulla permette infatti di escludere che il ricorrente - che neppure afferma di voler porre termine alla sua attività professionale - possa incappare in futuro in una violazione analoga, affatto singolare e che, data la sua gravità, non lascia spazio alla rinuncia a una sanzione in base al principio di opportunità (cfr. Poledna, op. cit.,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