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52.2022.254 vom 16. März 2022</w:t>
      </w:r>
    </w:p>
    <w:p>
      <w:r>
        <w:t>TI Tribunale d'appello, 2022-03-16, IT</w:t>
      </w:r>
    </w:p>
    <w:p>
      <w:r>
        <w:rPr>
          <w:b/>
        </w:rPr>
        <w:t xml:space="preserve">Quelle: </w:t>
      </w:r>
      <w:r>
        <w:t>https://mcp.opencaselaw.ch/entscheid/ti_gerichte_52.2022.254</w:t>
      </w:r>
    </w:p>
    <w:p>
      <w:r>
        <w:t>FR: TI_GERICHTE 52.2022.254 du 16 mars 2022</w:t>
      </w:r>
    </w:p>
    <w:p>
      <w:r>
        <w:t>IT: TI_GERICHTE 52.2022.254 del 16 marzo 2022</w:t>
      </w:r>
    </w:p>
    <w:p>
      <w:pPr>
        <w:pStyle w:val="Heading2"/>
      </w:pPr>
      <w:r>
        <w:t>Regeste</w:t>
      </w:r>
    </w:p>
    <w:p>
      <w:r>
        <w:t>Revoica effetto sospensivo del ricorso contro una decisione di confisca di animali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Stante quanto precede, il ricorso va accolto e la decisione impugnata annullata.</w:t>
      </w:r>
    </w:p>
    <w:p>
      <w:r>
        <w:rPr>
          <w:b/>
        </w:rPr>
        <w:t>E. 4.2</w:t>
      </w:r>
    </w:p>
    <w:p>
      <w:r>
        <w:t>Dato l'esito, si prescinde dal prelievo della tassa di giustizia (art. 47 LPAmm). Lo Stato del Cantone Ticino rifonderà all'insorgente, rappresentata da un legale, un'adeguata indennità a titolo di ripetibili per questa sede (art. 49 LPAmm). Per questi motivi, decide: 1.   Il ricorso è accolto . Di conseguenza la decisione provvisionale del 2 agosto 2022 (n. 24) del presidente del Consiglio di Stato è annullata. 2. Non si preleva tassa di giustizia, alla ricorrente va restituito l'importo di fr. 1'000.-. Lo Stato del Cantone Ticino rifonderà all'insorgente fr. 1'000.- a titolo di ripetibili.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. Per il Tribunale cantonale amministrativo Il presidente       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