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52.2021.232 vom 28. April 2021</w:t>
      </w:r>
    </w:p>
    <w:p>
      <w:r>
        <w:t>TI Tribunale d'appello, 2021-04-28, IT</w:t>
      </w:r>
    </w:p>
    <w:p>
      <w:r>
        <w:rPr>
          <w:b/>
        </w:rPr>
        <w:t xml:space="preserve">Quelle: </w:t>
      </w:r>
      <w:r>
        <w:t>https://mcp.opencaselaw.ch/entscheid/ti_gerichte_52.2021.232</w:t>
      </w:r>
    </w:p>
    <w:p>
      <w:r>
        <w:t>FR: TI_GERICHTE 52.2021.232 du 28 avril 2021</w:t>
      </w:r>
    </w:p>
    <w:p>
      <w:r>
        <w:t>IT: TI_GERICHTE 52.2021.232 del 28 aprile 2021</w:t>
      </w:r>
    </w:p>
    <w:p>
      <w:pPr>
        <w:pStyle w:val="Heading2"/>
      </w:pPr>
      <w:r>
        <w:t>Regeste</w:t>
      </w:r>
    </w:p>
    <w:p>
      <w:r>
        <w:t>Revoca di 3 mesi della licenza di condurre per un'infrazione grave (elusione di provvedimenti per accertare l'inattitudine alla guida)</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(cfr. art. 25 cpv. 1 LPAmm).</w:t>
      </w:r>
    </w:p>
    <w:p>
      <w:r>
        <w:rPr>
          <w:b/>
        </w:rPr>
        <w:t>E. 2</w:t>
      </w:r>
    </w:p>
    <w:p>
      <w:r>
        <w:t>ottobre 2020 è rimasto incontestato ed è quindi regolarmente passato in giudicato. Ora, al 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alla descrizione degli avvenimenti che hanno portato alla condanna di RI 1. Se l'insorgente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in sostanza sempre giustificato negando di aver perso la padronanza di guida, ma di aver lasciato spontaneamente la strada per fare fuori strada su un terreno privato sul quale non troverebbe applicazione la LCStr (cfr. osservazioni del 15 dicembre 2020, pag. 2-3; ricorso al Governo, pag. 3 e 4, e relativa replica, pag. 3). La sua linea difensiva - che ha ribadito ancora in questa sede (cfr. ricorso, pag. 4-5) - avrebbe perciò dovuto coerentemente indurlo a insistere onde tutelarsi al meglio. Nulla di tutto ciò è tuttavia avvenuto. L'insorgente - che in sede penale non ha ritenuto di avvalersi dell'assistenza di un legale - è invece rimasto passivo. Nonostante la gravità del reato rimproveratogli e l'ampiezza della sanzione inflittagli, non ha contestato il decreto con il quale il procuratore pubblico lo ha condannato a una pena pecuniaria e al pagamento di una multa per avere commesso un'infrazione alle norme della circolazione, omesso di osservare i suoi doveri in caso d'incidente ed eluso i provvedimenti per accertare la sua eventuale inattitudine alla guida. Per ragioni sue, di cui non può che rammaricarsi, h a dunque lasciato passare in giudicato la decisione penale, pur sapendo - poiché espressamente indicato in calce alla stessa - che, una volta passata in giudicato, sarebbe stata trasmessa a Camorino e che sarebbe stata risolutiva per l'accertamento delle sue responsabilità (cfr. scritto dell'11 settembre 2020 della Sezione della circolazione). Tanto più che è ormai fatto notorio che le infrazioni alla legge sulla circolazione stradale possono sfociare in una procedura amministrativa (cfr. DTF 139 II 95 consid. 3.2; STA 52.2019.2 del 12 giugno 2019 consid. 2.2 e rif.). In simili evenienze, il principio della sicurezza giuridica gli impedisce di rimettere in discussione gli estremi dell'infrazione o la sussistenza del reato al fine di eludere la misura di revoca che occorre applicargli (RtiD I-2011 n. 41 consid. 3.1).</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2.3</w:t>
      </w:r>
    </w:p>
    <w:p>
      <w:r>
        <w:t>Nulla muta a questa conclusione la circostanza che un'istanza di revisione del decreto d'accusa presentata dal ricorrente sia attualmente pendente davanti alla CARP, ritenuto come il ricorrente non sostanzi - né sia altrimenti ravvisabile - un motivo di revisione giusta l'art. 410 del codice di procedura penale del 5 ottobre 2007 (CPP; RS 312.0; cfr. STF 1C_378/2014 del 23 dicembre 2014 consid. 2.4). Nulla può dunque essere rimproverato al Governo per avere statuito senza attendere l'esito della relativa procedura. Per la stessa ragione non occorre in questa sede aspettare che la CARP si pronunci in merito all'istanza di revisione.</w:t>
      </w:r>
    </w:p>
    <w:p>
      <w:r>
        <w:rPr>
          <w:b/>
        </w:rPr>
        <w:t>E. 3.1</w:t>
      </w:r>
    </w:p>
    <w:p>
      <w:r>
        <w:t>Vincolato all'accertamento dei fatti operato in sede penale, questo Tribunale può nondimeno procedere a una valutazione giuridica autonoma degli stessi (STF 1C_50/2019 citata consid. 2.2, 1C_87/2009 dell'11 agosto 2009 consid. 2). Senza alcun giovamento per il ricorrente, poiché gli accadimenti descritti nel decreto di accusa del 2 ottobre 2020 adempiono senz'ombra di dubbio tutti gli elementi costitutivi, soggettivi e oggettivi, del reato di elusione di provvedimenti per accertare l'inattitudine alla guida di c ui all'art. 91 a cpv. 1 LCStr ( Yvan Jeanneret , Les dispositions pénales de la loi sur la circulation routière, Berna 2007, pag. 123 segg.). D i riflesso, a RI 1 è imputabile il compimento di un'infrazione grave ai sensi dell'art. 16 c cpv. 1 lett. d LCStr ( Cédric Mizel , Droit et pratique illustrée du retrait du permis de conduire, Berna 2015, pag. 500 segg.).</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(cfr. art. 16 cpv. 3 LCStr). La nuova LCStr prevede una durata minima della revoca a di-pendenza dell'importanza dell'infrazione commessa (lieve, art. 16 a ; medio grave, art. 16 b ; grave, art. 16 c ) e dei precedenti dell'interessato. In particolare, commette un'infrazione grave co lui che intenzionalmente si oppone o si sottrae alla prova del sangue, all'analisi dell'alito o a un altro esame preliminare disciplinato dal Consiglio federale, che è stato ordinato o lo sarà verosimilmente, o a un esame sanitario completivo oppure elude lo scopo di tali provvedimenti (art. 16 c cpv. 1 lett. d LCStr). In tal caso, se non vi sono precedenti o altri reati di cui occorra tener conto, la licenza di condurre deve essere revocata per almeno tre mesi (art. 16 c cpv. 2 lett. a LCStr).</w:t>
      </w:r>
    </w:p>
    <w:p>
      <w:r>
        <w:rPr>
          <w:b/>
        </w:rPr>
        <w:t>E. 3.3</w:t>
      </w:r>
    </w:p>
    <w:p>
      <w:r>
        <w:t>In concreto, come visto, dagli atti risulta che il 2 agosto 2020 l'insorgente, mentre circolava su una strada forestale senza la necessaria autorizzazione, ha perso la padronanza di guida per poi terminare la corsa con il veicolo rovesciato. In seguito ha abbandonato il luogo dell'incidente senza osservare i doveri impostigli per legge (in specie senza avvertire senza indugio la polizia) e si è reso irreperibile, sottraendosi così intenzionalmente alla prova del sangue o a un altro esame sanitario completivo per la determinazione dell'alcolemia, sapendo o comunque dovendo presumere, tenuto conto delle circostanze (dinamica dei fatti, ora dell'incidente ecc.), che la polizia avrebbe ordinato tempestivamente la prova dell'alito o del sangue, così come stabilito in sede penale. Ora, il fatto di avere eluso i provvedimenti che la polizia, date le circostanze, avrebbe ordinato per accertare una sua eventuale inattitudine alla guida costituisce un'infrazione grave ai sensi dell'art. 16 c cpv. 1 lett. d LCStr. Il Tribunale non ha ragione di scostarsi dalle valutazioni giuridiche del procuratore pubblico, che su questo punto ha ritenuto data l'esistenza del corrispondente reato previsto dall'art. 91 a cpv. 1 LCStr (cfr. anche Mizel , op. cit., pag. 501 seg.). A maggior ragione considerata la francamente scarsa plausibilità della versione fornita dall'insorgente, secondo cui l'uscita di strada (su una strada di montagna, a tarda sera, al buio, all'altezza di un tornante e dopo una cena in cui ha ammesso di avere bevuto quattro bicchieri di vino) sarebbe stata intenzionale. In queste circostanze, avuto in particolare riguardo al rovesciamento del veicolo al termine della sua corsa, il fatto di essere sottoposto a un esame alcolemico non solo era possibile, ma altamente probabile, se non addirittura quasi certo. Se ne deve concludere che, tornando applicabile l'art. 16 c LCStr, il provvedimento amministrativo della durata di tre mesi tutelato dal Governo non può che essere ulteriormente confermato da questo Tribunale. Una misura di tale ampiezza appare infatti conforme al diritto e rispettosa del principio della proporzionalità, tant'è che corrisponde al minimo previsto dalla legge per il genere di violazione di cui si è macchiato il ricorrente (cfr. art. 16 c cpv. 2 lett. d LCStr). Minimo, sia detto per completezza, sotto il quale non si potrebbe scendere neppure in presenza di circostanze particolari (buona reputazione, effettiva necessità di disporre di un veicolo a motore) - qui invero nemmeno invocate -, tale essendo la scelta chiaramente operata sul tema dal Legislatore federale (cfr. art. 16 cpv. 3 in fine LCStr; DTF 135 II 334 consid. 2.2, 132 II 234 consid. 2.3; STF 1C_13/2014 del 21 gennaio 2014 consid. 2.4 con numerosi rinvii).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all'agosto 2020 e che le revoche d'ammonimento vanno scontate sollecitamente per conservare il loro carattere istruttivo.</w:t>
      </w:r>
    </w:p>
    <w:p>
      <w:r>
        <w:rPr>
          <w:b/>
        </w:rPr>
        <w:t>E. 4.1</w:t>
      </w:r>
    </w:p>
    <w:p>
      <w:r>
        <w:t>Stante quanto precede, il ricorso deve essere respinto.</w:t>
      </w:r>
    </w:p>
    <w:p>
      <w:r>
        <w:rPr>
          <w:b/>
        </w:rPr>
        <w:t>E. 4.2</w:t>
      </w:r>
    </w:p>
    <w:p>
      <w:r>
        <w:t>La tassa di giustizia segue la soccombenza dell'insorgente (art. 47 cpv. 1 LPAmm).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