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52.2021.23 vom 25. November 2020</w:t>
      </w:r>
    </w:p>
    <w:p>
      <w:r>
        <w:t>TI Tribunale d'appello, 2020-11-25, IT</w:t>
      </w:r>
    </w:p>
    <w:p>
      <w:r>
        <w:rPr>
          <w:b/>
        </w:rPr>
        <w:t xml:space="preserve">Quelle: </w:t>
      </w:r>
      <w:r>
        <w:t>https://mcp.opencaselaw.ch/entscheid/ti_gerichte_52.2021.23</w:t>
      </w:r>
    </w:p>
    <w:p>
      <w:r>
        <w:t>FR: TI_GERICHTE 52.2021.23 du 25 novembre 2020</w:t>
      </w:r>
    </w:p>
    <w:p>
      <w:r>
        <w:t>IT: TI_GERICHTE 52.2021.23 del 25 novembre 2020</w:t>
      </w:r>
    </w:p>
    <w:p>
      <w:pPr>
        <w:pStyle w:val="Heading2"/>
      </w:pPr>
      <w:r>
        <w:t>Regeste</w:t>
      </w:r>
    </w:p>
    <w:p>
      <w:r>
        <w:t>Licenza edilizia per la ristrutturazione di uno stabile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) non può essere conteggiata come SUL ma, non diversamente da tutte le altre superfici dei depositi, ripostigli o cantine presenti al pian terreno o al primo piano, va trattata quale superficie accessoria. Ne discende che, l'ampliamento previsto dal progetto non può essere autorizzato, siccome di gran lunga superiore al limite massimo consentito dall'art. 42 cpv. 3 OPT (cfr. tabella per i calcoli secondo il modello dell'ARE, così adattata: T1 = 95; T3 = 192; T3-T1 = 97; 97:2 = 48.5; 48.5+7(T4) = 55.5; 55.5:95 ≈ 0.58 [58%]). Già solo per questo contrasto - non facilmente emendabile mediante una condizione di licenza, poiché implica una riprogettazione dei due piani dell'edificio (cfr. fra tante, STF 1C_207/2010 del 21 aprile 2011 consid. 4.4, pubbl. in: RtiD II-2011 n. 13; STA 52.2020.45 del 2 settembre 2021 consid. 3.2) - il progetto non può essere autorizzato, così come concluso dal Governo.</w:t>
      </w:r>
    </w:p>
    <w:p>
      <w:r>
        <w:rPr>
          <w:b/>
        </w:rPr>
        <w:t>E. 5</w:t>
      </w:r>
    </w:p>
    <w:p>
      <w:r>
        <w:t>Dato l'esito non mette conto di esaminare se l'ampliamento esterno previsto al primo piano (chiusura del portico) non si ponga anche in contrasto con l'art. 24 c cpv. 4 LPT, che come visto ammette modifiche all'aspetto esterno solo se il progetto risponde a uno dei criteri alternativi fissati da tale norma. Aspetto sul quale nemmeno le precedenti istanze si sono soffermate. Per la stessa ragione non occorre dilungarsi sulle contestazioni inerenti la cantina o intercapedine a est dell'edificio (conteggiata nella superficie accessoria già esistente al 1° luglio 1972).</w:t>
      </w:r>
    </w:p>
    <w:p>
      <w:r>
        <w:rPr>
          <w:b/>
        </w:rPr>
        <w:t>E. 6.1</w:t>
      </w:r>
    </w:p>
    <w:p>
      <w:r>
        <w:t>Sulla base delle considerazioni che precedono, il ricorso è respinto.</w:t>
      </w:r>
    </w:p>
    <w:p>
      <w:r>
        <w:rPr>
          <w:b/>
        </w:rPr>
        <w:t>E. 6.2</w:t>
      </w:r>
    </w:p>
    <w:p>
      <w:r>
        <w:t>La tassa di giustizia è posta a carico dei ricorrenti, soccombenti (art. 47 cpv. 1 LPAmm), i quali rifonderanno ai vicini resistenti, assistiti da un legale, adeguate ripetibili per questa istanza (art. 49 cpv. 1 LPAmm). Per questi motivi, decide: 1.   Il ricorso è respinto. 2.   La tassa di giustizia di fr. 1'800.-, già anticipata, è posta in solido a carico dei ricorrenti, i quali verseranno complessivamente un identico importo a CO 1, CO 2 e CO 3 a titolo di ripetibili di questa sede. 3.   Contro la presente decisione è dato ricorso in materia di diritto pubblico al Tribunale federale a Losanna entro il termine di 30 giorni dalla sua notificazione (art. 82 segg. della legge sul Tribunale federale del 17 giugno 2005; LTF; RS 173.110). 4.   Intimazione a: Per il Tribunale cantonale amministrativo Il giudice presidente                                              La vicecancelliera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