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52.2020.59 vom 20. Januar 2020</w:t>
      </w:r>
    </w:p>
    <w:p>
      <w:r>
        <w:t>TI Tribunale d'appello, 2020-01-20, IT</w:t>
      </w:r>
    </w:p>
    <w:p>
      <w:r>
        <w:rPr>
          <w:b/>
        </w:rPr>
        <w:t xml:space="preserve">Quelle: </w:t>
      </w:r>
      <w:r>
        <w:t>https://mcp.opencaselaw.ch/entscheid/ti_gerichte_52.2020.59</w:t>
      </w:r>
    </w:p>
    <w:p>
      <w:r>
        <w:t>FR: TI_GERICHTE 52.2020.59 du 20 janvier 2020</w:t>
      </w:r>
    </w:p>
    <w:p>
      <w:r>
        <w:t>IT: TI_GERICHTE 52.2020.59 del 20 gennaio 2020</w:t>
      </w:r>
    </w:p>
    <w:p>
      <w:pPr>
        <w:pStyle w:val="Heading2"/>
      </w:pPr>
      <w:r>
        <w:t>Erwägungen</w:t>
      </w:r>
    </w:p>
    <w:p>
      <w:r>
        <w:rPr>
          <w:b/>
        </w:rPr>
        <w:t>E. 1.1</w:t>
      </w:r>
    </w:p>
    <w:p>
      <w:r>
        <w:t>Alla presente fattispecie sono applicabili la LCPubb e il regolamento di applicazione della legge sulle commesse pubbliche e del concordato internazionale sugli appalti pubblici del 12 settembre 2006 (RLCPubb/CIAP; RL 730.110) nella loro versione in vigore sino al 31 dicembre 2019 (cfr. disposizione transitoria della modifica legislativa del 10 aprile 2017; BU 2019, 211).</w:t>
      </w:r>
    </w:p>
    <w:p>
      <w:r>
        <w:rPr>
          <w:b/>
        </w:rPr>
        <w:t>E. 1.2</w:t>
      </w:r>
    </w:p>
    <w:p>
      <w:r>
        <w:t>La competenza del Tribunale cantonale amministrativo è data dall'art. 36 cpv. 1 LCPubb. In quanto partecipante al concorso oggetto del contendere,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1.3</w:t>
      </w:r>
    </w:p>
    <w:p>
      <w:r>
        <w:t>Il giudizio può essere emanato sulla base delle tavole processuali, senza procedere ad accertamenti istruttori (art. 25 cpv. 1 LPAmm). I memoriali e i documenti prodotti dalle parti forniscono sufficienti elementi per statuire sull'impugnativa con cognizione di causa. Non occorre esperire alcuna perizia sulle prestazioni da annoverare nelle best practices del settore in merito alla manutenzione di un sito web basato su CMS W__________ , come richiesto dall'aggiudicataria: come si vedrà in appresso, la questione non è determinante per l'esito della causa.</w:t>
      </w:r>
    </w:p>
    <w:p>
      <w:r>
        <w:rPr>
          <w:b/>
        </w:rPr>
        <w:t>E. 2</w:t>
      </w:r>
    </w:p>
    <w:p>
      <w:r>
        <w:t>Secondo l'art. 40 cpv. 2 RLCPubb la partecipazione alla gara, con l'inoltro dell'offerta, implica l'accettazione di tutte le condizioni contenute nella documentazione del concorso. La norma scaturisce direttamente dal principio della buona fede (cfr. art. 5 cpv. 3 della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(RtiD II-2014 n. 24 consid. 3.2; STA 52.2019.209 del 2 ottobre 2019 consid. 2.2., 52.2015.369 del 23 ottobre 2015 consid. 3, 52.2011.327 del 16 agosto 2011 consid. 3.1, 52.2011.4 del 25 gennaio 2011 consid. 3.2).</w:t>
      </w:r>
    </w:p>
    <w:p>
      <w:r>
        <w:rPr>
          <w:b/>
        </w:rPr>
        <w:t>E. 3</w:t>
      </w:r>
    </w:p>
    <w:p>
      <w:r>
        <w:t>Nel caso concreto, l'insorgente è insorta contro la decisione di aggiudicazione della commessa alla CO 1 contestando, tra le altre cose, il bando di concorso nella misura in cui non fornirebbe dettagli adeguati circa le prestazioni comprese nella manutenzione annuale. A ragione l'aggiudicataria e il committente eccepiscono la tardività di queste critiche. Se è vero che non vi è una descrizione precisa delle attività da comprendere nella manutenzione, è pur vero che di tale mancanza i concorrenti potevano rendersi conto immediatamente alla visione degli atti di gara. D'altro la canto, pure la ricorrente afferma che il concetto di manutenzione è noto a tutti gli esperti del settore. Se la ricorrente non abbia inteso fornire tutte le prestazioni comunemente comprese in questo ambito, è questione che rileva della completezza dell'offerta, non dell'impostazione del bando di concorso.</w:t>
      </w:r>
    </w:p>
    <w:p>
      <w:r>
        <w:rPr>
          <w:b/>
        </w:rPr>
        <w:t>E. 4</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lett. a e c LCPubb, art. 5 lett. a LCPubb). Al momento della loro apertura le offerte devono quindi risultare complete, corrette, nonché compilate nel rispetto delle condizioni stabilite dal bando di concorso e della relativa documentazione di gara (cfr. art. 26 cpv. 1 LCPubb e 40 cpv. 1 RLCPubb/CIAP ).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2P.339/2001 del 12 aprile 2002 consid. 5 c/cc in: RDAT II-2002 n. 47 pag. 158 segg.; RtiD I-2014 n. 12 consid. 3.1, STA 52.2013.2 del 24 aprile 2013 consid. 2.2; Matteo Cassina , Principali aspetti del diritto delle commesse pubbliche nel Cantone Ticino, vol. 11 collana gialla CFPG, Lugano 2008, pag. 34).</w:t>
      </w:r>
    </w:p>
    <w:p>
      <w:r>
        <w:rPr>
          <w:b/>
        </w:rPr>
        <w:t>E. 5.1</w:t>
      </w:r>
    </w:p>
    <w:p>
      <w:r>
        <w:t>La ricorrente ha innanzitutto messo in dubbio l'attendibilità del prezzo offerto dall'aggiudicataria per la manutenzione. Dopo aver visionato gli atti, l'insorgente ha pure contestato la validità dell'offerta della deliberataria. Questa, avendo precisato che al servizio di supporto si applica la tariffa oraria / giornaliera , avrebbe escluso tali prestazioni dal prezzo offerto.</w:t>
      </w:r>
    </w:p>
    <w:p>
      <w:r>
        <w:rPr>
          <w:b/>
        </w:rPr>
        <w:t>E. 5.2</w:t>
      </w:r>
    </w:p>
    <w:p>
      <w:r>
        <w:t>Come esposto in narrativa, l'aggiudicataria ha esposto il prezzo (fr. 1'938.60) per la posizione 2) manutenzione e supporto annuale nell'apposito spazio del modulo d'offerta. Tuttavia, accanto alla casella Prezzo supporto LU-VE 8h00 -17h00, presa a carico entro 4 ore ha precisato si applica la tariffa oraria / giornaliera. A non averne dubbio l'offerente ha indicato in modo vincolante che tale servizio sarebbe stato fatturato applicando un onorario non precisato e non compreso nel prezzo globale. Le successive spiegazioni fornite al committente non permettono di giungere a diversa conclusione. Se è vero che, su esplicita richiesta della stazione appaltante, l'aggiudicataria ha confermato che l'importo offerto comprende pure il servizio di supporto, è pur vero che le ulteriori precisazioni lasciano ben pochi dubbi circa l'intenzione di escludere determinate prestazioni dall'offerta. L'aggiudicataria ha infatti dichiarato che il singolo intervento al di fuori di installazioni di sicurezza e l'ottimizzazione delle componenti già coperte dalla manutenzione annuale è quantificato a regia secondo la nostra tariffa oraria / giornaliera pari a CHF 1'378.55 al giorno (CHF 172.30 all'ora) […] . A fronte di simili dichiarazioni, non si può accreditare la tesi della deliberataria secondo cui i servizi fatturabili a regia concernerebbero soltanto interventi di tipo straordinario (cosiddette change requests , prestazioni supplementari non contemplate nei requisiti del capitolato). Se così fosse, l'aggiudicataria non avrebbe avuto l'esigenza di specificare alcunché nel modulo d'offerta. Omettendo di inserire nel prezzo globale una prestazione richiesta, con l'indicazione che sarebbe stata fatturata a parte, l'offerta della deliberataria era da ritenere viziata, rispettivamente inattendibile, e andava pertanto esclusa.</w:t>
      </w:r>
    </w:p>
    <w:p>
      <w:r>
        <w:rPr>
          <w:b/>
        </w:rPr>
        <w:t>E. 6</w:t>
      </w:r>
    </w:p>
    <w:p>
      <w:r>
        <w:t>Visto quanto precede, il ricorso deve essere accolto e la decisione di aggiudicazione annullata. Disponendo questo Tribunale degli elementi necessari, la commessa va aggiudicata direttamente alla ricorrente. Nulla vi si oppone: la sua offerta è stata ritenuta idonea e valutata dalla committenza, che le ha assegnato il secondo posto in graduatoria. Le generiche critiche che la stazione appaltante ha rivolto, soltanto in questa sede, contro l'offerta della ricorrente non permettono di giungere ad altra conclusione.</w:t>
      </w:r>
    </w:p>
    <w:p>
      <w:r>
        <w:rPr>
          <w:b/>
        </w:rPr>
        <w:t>E. 7</w:t>
      </w:r>
    </w:p>
    <w:p>
      <w:r>
        <w:t>L'emanazione del presente giudizio rende superflua l'evasione della domanda tendente alla concessione dell'effetto sospensivo al gravame.</w:t>
      </w:r>
    </w:p>
    <w:p>
      <w:r>
        <w:rPr>
          <w:b/>
        </w:rPr>
        <w:t>E. 8</w:t>
      </w:r>
    </w:p>
    <w:p>
      <w:r>
        <w:t>La tassa di giustizia è posta a carico del committente e dell'aggiudicataria (art. 47 cpv. 1 LPAmm). Esse rifonderanno inoltre alla ricorrente congrue ripetibili (art. 49 cpv. 1 LPAmm). Per questi motivi, decide: 1.   Il ricorso è accolto . §.   Di conseguenza: 1.1.     la decisione del 20 gennaio 2020 con cui l'CO 2 Cantonale ha deliberato alla CO 1 il mandato per la fornitura di una soluzione per un nuovo sito web è annullata; 1.2.     la commessa è aggiudicata alla RI 1 come da sua offerta. 2.   La tassa di giustizia di fr. 3'000.- è posta a carico del committente e della CO 1 in ragione di un mezzo (fr. 1'500.-) ciascuno. Alla ricorrente è restituito l'anticipo versato. 3.   Il committente e la CO 1 verseranno alla ricorrente fr. 1'500.- ciascuno a titolo di ripetibili. 4.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