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52.2020.396 vom 13. August 2020</w:t>
      </w:r>
    </w:p>
    <w:p>
      <w:r>
        <w:t>TI Tribunale d'appello, 2020-08-13, IT</w:t>
      </w:r>
    </w:p>
    <w:p>
      <w:r>
        <w:rPr>
          <w:b/>
        </w:rPr>
        <w:t xml:space="preserve">Quelle: </w:t>
      </w:r>
      <w:r>
        <w:t>https://mcp.opencaselaw.ch/entscheid/ti_gerichte_52.2020.396</w:t>
      </w:r>
    </w:p>
    <w:p>
      <w:r>
        <w:t>FR: TI_GERICHTE 52.2020.396 du 13 août 2020</w:t>
      </w:r>
    </w:p>
    <w:p>
      <w:r>
        <w:t>IT: TI_GERICHTE 52.2020.396 del 13 agosto 2020</w:t>
      </w:r>
    </w:p>
    <w:p>
      <w:pPr>
        <w:pStyle w:val="Heading2"/>
      </w:pPr>
      <w:r>
        <w:t>Regeste</w:t>
      </w:r>
    </w:p>
    <w:p>
      <w:r>
        <w:t>Commessa pubblica. Esclusione</w:t>
      </w:r>
    </w:p>
    <w:p>
      <w:pPr>
        <w:pStyle w:val="Heading2"/>
      </w:pPr>
      <w:r>
        <w:t>Erwägungen</w:t>
      </w:r>
    </w:p>
    <w:p>
      <w:r>
        <w:rPr>
          <w:b/>
        </w:rPr>
        <w:t>E. 1.1</w:t>
      </w:r>
    </w:p>
    <w:p>
      <w:r>
        <w:t>La competenza del Tribunale cantonale amministrativo è data dall'art. 36 cpv. 1 LCPubb. In quanto partecipante al concorso oggetto del contendere, la ricorrente è legittimata a contestare la sua estromissione dalla procedura (art. 37 lett. b LCPubb e 65 cpv. 1 legge sulla procedura amministrativa del 24 settembre 2013; LPAmm; RL 165.100 ) . La potestà ricorsuale per impugnare l'aggiudicazione della commessa all'CO 1 (art. 37 lett. d LCPubb) potrà esserle invece riconosciuta solo in caso di accoglimento del ricorso rivolto contro la decisione di esclusione (STA 52.2010.11 del 15 marzo 2010). C on questa precisazione il gravame, tempestivo (art. 36 cpv. 1 LCPubb), è dunque ricevibile in ordine.</w:t>
      </w:r>
    </w:p>
    <w:p>
      <w:r>
        <w:rPr>
          <w:b/>
        </w:rPr>
        <w:t>E. 1.2</w:t>
      </w:r>
    </w:p>
    <w:p>
      <w:r>
        <w:t>Il giudizio può essere emanato sulla base degli atti, senza procedere ad accertamenti istruttori (art. 25 cpv. 1 LPAmm). Il carteggio versato agli atti dal committente e l'ulteriore documentazione esibita dall'insorgente consentono a questo Tribunale di statuire con cognizione di causa.</w:t>
      </w:r>
    </w:p>
    <w:p>
      <w:r>
        <w:rPr>
          <w:b/>
        </w:rPr>
        <w:t>E. 2</w:t>
      </w:r>
    </w:p>
    <w:p>
      <w:r>
        <w:t>Giusta l'art. 26 cpv. 1 LCPubb, gli offerenti devono inoltrare la loro offerta per scritto, in modo completo e tempestivo e utilizzando i documenti di gara ufficiali messi a diposizione dal committente. L'offerta, sottolinea l'art. 40 cpv. 1 RLCPubb/CIAP, allestita in forma scritta, chiara ed univoca, deve essere compilata in ogni sua parte . Offerte incomplete o che non rispondono alle esigenze del capitolato devono di principio essere escluse, nell'interesse della parità di trattamento tra concorrenti e della comparabilità delle offerte (cfr. al riguardo: STA 52.2017.579 del 21 marzo 2018). In particolare, soggiunge l'art. 42 cpv. 1 RLCPubb/CIAP, sono escluse le offerte giunte in busta aperta, prive del contrassegno o della dicitura esterna prescritta, non indirizzate al recapito indicato, giunte dopo il termine di scadenza, mancanti dei prezzi unitari o dei prezzi a corpo, sprovviste delle firme o dei documenti necessari o richiesti, incomplete oppure che contengono proposte di sconto non prescritte dalla documentazione di gara.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2C_458/2008 del 15 dicembre 2008 consid. 3.1; RtiD I- 2014 n. 12 consid. 3.1; STA 52.2017.579 del 21 marzo 2018, 52.2015.314 del 26 ottobre 2015 consid. 2.1, 52.2014.282-283 del 10 ottobre 2014 consid. 2.1, 52.2013.2 del 24 aprile 2013 consid. 2.2, 52.2009.128 del 20 luglio 2009 consid. 6 .; Matteo Cassina , Principali aspetti del diritto delle commesse pubbliche nel Cantone Ticino, vol. 11 collana gialla CFPG, Lugano 2008, pag. 34 ).</w:t>
      </w:r>
    </w:p>
    <w:p>
      <w:r>
        <w:rPr>
          <w:b/>
        </w:rPr>
        <w:t>E. 3</w:t>
      </w:r>
    </w:p>
    <w:p>
      <w:r>
        <w:t>Nel caso concreto, l'insorgente ha lasciato in bianco gli spazi dedicati all'indicazione del numero di apprendisti e dei dipendenti in perfezionamento professionale per ogni anno scolastico per cui era richiesta l'informazione. L'offerta non è stata compilata in ogni sua parte e va ritenuta incompleta: la sua estromissione non viola quindi il diritto. Ci si può in effetti riferire alla giurisprudenza di questo Tribunale secondo cui se un concorrente intende offrire prestazioni gratuite non può limitarsi a lasciare una posizione vuota, ma lo deve indicare chiaramente, apponendo "0" o un segno inequivocabile (ad es. "-"; cfr. STA SA 52.2019.284 del</w:t>
      </w:r>
    </w:p>
    <w:p>
      <w:r>
        <w:rPr>
          <w:b/>
        </w:rPr>
        <w:t>E. 5</w:t>
      </w:r>
    </w:p>
    <w:p>
      <w:r>
        <w:t>La ricorrente sostiene innanzitutto che nemmeno l'aggiudicataria ha compilato integralmente le predette tabelle relative agli apprendisti e ai dipendenti in perfezionamento. Effettivamente, la deliberataria si è limitata a inserire il numero di apprendisti, rispettivamente di collaboratori in perfezionamento, per gli anni nei quali li ha avuti alle dipendenze, lasciando in bianco gli altri spazi. Essa ha poi indicato il totale, che corrispondeva alla cifra sopra indicata. Se è vero, come sostiene il committente, che coincidendo il numero totale di apprendisti con quello indicato per un preciso anno scolastico si poteva dedurre che in relazione agli altri periodi la concorrente non ha annunciato apprendisti e dipendenti in perfezionamento, è pur vero che la rigorosa giurisprudenza di questo Tribunale riferita alla compilazione dell'elenco prezzi, seguita dalla committenza nell'esame dell'offerta dell'insorgente, non ammette eccezioni nemmeno laddove la somma delle prestazioni indicate lascerebbe intendere che talune prestazioni sono state offerte a titolo gratuito. Il principio della parità di trattamento imponeva pertanto di trattare in modo ugualmente severo pure l'offerta della deliberataria, che andava quindi esclusa.</w:t>
      </w:r>
    </w:p>
    <w:p>
      <w:r>
        <w:rPr>
          <w:b/>
        </w:rPr>
        <w:t>E. 6</w:t>
      </w:r>
    </w:p>
    <w:p>
      <w:r>
        <w:t>Visto quanto precede, il ricorso deve essere parzialmente accolto senza che si renda necessario esaminare le ulteriori censure. La decisione impugnata va quindi annullata nella misura in cui aggiudica la commessa all'CO 1.</w:t>
      </w:r>
    </w:p>
    <w:p>
      <w:r>
        <w:rPr>
          <w:b/>
        </w:rPr>
        <w:t>E. 7</w:t>
      </w:r>
    </w:p>
    <w:p>
      <w:r>
        <w:t>L'emanazione del presente giudizio rende superflua l'evasione delle domande cautelari.</w:t>
      </w:r>
    </w:p>
    <w:p>
      <w:r>
        <w:rPr>
          <w:b/>
        </w:rPr>
        <w:t>E. 8</w:t>
      </w:r>
    </w:p>
    <w:p>
      <w:r>
        <w:t>La tassa di giustizia è posta a carico dell'insorgente e della committenza secondo il reciproco grado di soccombenza (art. 47 cpv. 1 LPAmm). Il Comune di __________ dovrà rifondere all'insorgente un importo ridotto a titolo di ripetibili (art. 49 cpv. 1 LPAmm). Per questi motivi, decide: 1.   Il ricorso è parzialmente accolto . Di conseguenza il dispositivo n. 2 della decisione del 13 agosto 2020 con cui il Municipio del Comune di __________ ha aggiudicato il servizio di sorveglianza educativa delle mense scolastiche delle scuole elementari dei quartieri compresi nei lotti 2 e 3 all'CO 1 è annullato. 2.   La tassa di giustizia di fr. 3'000.- è posta a carico dell'insorgente e del Comune di __________ in ragione di un mezzo (fr. 1'500.-) ciascuno. Alla ricorrente è restituito l'anticipo versato in eccesso. Il Comune di __________ verserà alla ricorrente fr. 1'000.-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