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52.2019.489 vom 20. September 2019</w:t>
      </w:r>
    </w:p>
    <w:p>
      <w:r>
        <w:t>TI Tribunale d'appello, 2019-09-20, IT</w:t>
      </w:r>
    </w:p>
    <w:p>
      <w:r>
        <w:rPr>
          <w:b/>
        </w:rPr>
        <w:t xml:space="preserve">Quelle: </w:t>
      </w:r>
      <w:r>
        <w:t>https://mcp.opencaselaw.ch/entscheid/ti_gerichte_52.2019.489</w:t>
      </w:r>
    </w:p>
    <w:p>
      <w:r>
        <w:t>FR: TI_GERICHTE 52.2019.489 du 20 septembre 2019</w:t>
      </w:r>
    </w:p>
    <w:p>
      <w:r>
        <w:t>IT: TI_GERICHTE 52.2019.489 del 20 settembre 2019</w:t>
      </w:r>
    </w:p>
    <w:p>
      <w:pPr>
        <w:pStyle w:val="Heading2"/>
      </w:pPr>
      <w:r>
        <w:t>Regeste</w:t>
      </w:r>
    </w:p>
    <w:p>
      <w:r>
        <w:t>Commessa pubblica. Offerta lacunosa completata a posteriori. Conformità dei prodotti offerti</w:t>
      </w:r>
    </w:p>
    <w:p>
      <w:pPr>
        <w:pStyle w:val="Heading2"/>
      </w:pPr>
      <w:r>
        <w:t>Erwägungen</w:t>
      </w:r>
    </w:p>
    <w:p>
      <w:r>
        <w:rPr>
          <w:b/>
        </w:rPr>
        <w:t>E. 1</w:t>
      </w:r>
    </w:p>
    <w:p>
      <w:r>
        <w:t>della legge sulla procedura amministrativa del 24 settembre 2013; LPAmm; RL 165.100). Il gravame, tempestivo (art. 15 cpv. 2 CIAP), è pertanto ricevibile in ordine.</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partecipanti al concorso, i membri del Consorzio RI 1 sono senz'altro legittimati a contestare l'assegnazione della commessa a un altro concorrente (art. 15 cpv. 1bis lett. e CIAP e 65 cpv.</w:t>
      </w:r>
    </w:p>
    <w:p>
      <w:r>
        <w:rPr>
          <w:b/>
        </w:rPr>
        <w:t>E. 1.2</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w:t>
      </w:r>
    </w:p>
    <w:p>
      <w:r>
        <w:rPr>
          <w:b/>
        </w:rPr>
        <w:t>E. 1.3</w:t>
      </w:r>
    </w:p>
    <w:p>
      <w:r>
        <w:t>Alla presente fattispecie è applicabile il regolamento di applicazione della legge sulle commesse pubbliche e del concordato intercantonale sugli appalti pubblici del 12 settembre 2006 (RLCPubb/CIAP; RL 730.110) nella sua versione in vigore sino al 31 dicembre 2019 (cfr. disposizione transitoria della modifica del 10 aprile 2017 della legge sulle commesse pubbliche del 20 febbraio 2001 [LCPubb; RL 730.100]; BU 2019, 211).</w:t>
      </w:r>
    </w:p>
    <w:p>
      <w:r>
        <w:rPr>
          <w:b/>
        </w:rPr>
        <w:t>E. 2</w:t>
      </w:r>
    </w:p>
    <w:p>
      <w:r>
        <w:t>La censura di violazione del diritto di essere sentito sollevata dal ricorrente per non aver avuto accesso agli atti del concorso cade nel vuoto: la visione dell'incartamento e l'ampia possibilità di esprimersi dinanzi a questo Tribunale hanno infatti sanato ogni eventuale lesione dei suoi diritti di parte.</w:t>
      </w:r>
    </w:p>
    <w:p>
      <w:r>
        <w:rPr>
          <w:b/>
        </w:rPr>
        <w:t>E. 3.1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(art. 1 cpv. 3 lett. b e c CIAP). Al momento della loro apertura le offerte devono quindi risultare complete, corrette, nonché compilate nel rispetto delle condizioni stabilite dal bando di concorso e della relativa documentazione di gara. Il capitolato d'offerta, sottolinea l'art. 40 cpv. 1 RLCPubb/CIAP, deve essere compilato dal concorrente in ogni sua parte, con esposizione dei prezzi unitari, dei totali, delle eventuali analisi e di ogni altra indicazione complementare richiesta .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 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segnatamente la mancanza di prezzi unitari o di prezzi a corpo (art. 42 lett. d RLCPubb/CIAP),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2P.339/2001 del 12 aprile 2002 consid. 5 c/cc in: RDAT II-2002 n. 47 pag. 158 segg.; RtiD I-2014 n. 12 consid. 3.1, STA 52.2013.2 del 24 aprile 2013 consid. 2.2; Matteo Cassina , Principali aspetti del diritto delle commesse pubbliche nel Cantone Ticino, vol. 11 collana gialla CFPG, Lugano 2008, pag. 34).</w:t>
      </w:r>
    </w:p>
    <w:p>
      <w:r>
        <w:rPr>
          <w:b/>
        </w:rPr>
        <w:t>E. 3.2</w:t>
      </w:r>
    </w:p>
    <w:p>
      <w:r>
        <w:t>Per principio, dopo la scadenza del termine per l'inoltro, le offerte non possono più essere rettificate e/o completate (RtiD I-2012 n. 17; STA 52.2017.373 del 26 febbraio 2018 consid. 3.2). Tale principio discende dal divieto di negoziazioni stabilito all'art. 11 lett. c CIAP. Eccezioni a questa regola sono ammesse soltanto in caso di involontari errori aritmetici e di scrittura, che possono essere rettificati dal committente (art. 42 cpv. 2 e 47 cpv. 3 RLCPubb/CIAP ), il quale ha inoltre la facoltà di chiedere ai concorrenti spiegazioni e delucidazioni sul contenuto dell'offerta. Tale possibilità va comunque riservata a chiarire aspetti dell'offerta e non può invece condurre a una modifica della stessa ( Etienne Poltier , Droit des marchés publics, Berna 2014, n.354; Peter Galli/André Moser/Elisabeth Lang/Marc Steiner, Praxis des öffentlichen Beschaffungsrecht, III ed., Zurigo 2013, n. 710 segg.). In questo caso, vanno comunque salvaguardati il principio della parità di trattamento tra i concorrenti e quello della trasparenza (STA 52.2007.214 del 17 ottobre 2007 consid. 2).</w:t>
      </w:r>
    </w:p>
    <w:p>
      <w:r>
        <w:rPr>
          <w:b/>
        </w:rPr>
        <w:t>E. 4</w:t>
      </w:r>
    </w:p>
    <w:p>
      <w:r>
        <w:t>Secondo l'insorgente, l'offerta del Consorzio aggiudicatario avrebbe meritato l'esclusione, tra gli altri motivi, per aver propo- sto pareti rivestite di un materiale diverso da quello richiesto dalla stazione appaltante.</w:t>
      </w:r>
    </w:p>
    <w:p>
      <w:r>
        <w:rPr>
          <w:b/>
        </w:rPr>
        <w:t>E. 4.1</w:t>
      </w:r>
    </w:p>
    <w:p>
      <w:r>
        <w:t>Il capitolato d'appalto alle pos. E-6. segg. descriveva gli elementi necessari alla realizzazione dell'opera e indicava le caratteristiche tecniche e prestazionali, da intendersi quali requisiti indicativi minimi del livello qualitativo delle soluzioni attese . Caratteristiche migliori avrebbero contribuito alla valutazione complessiva dell'offerta, dal punto di vista qualitativo (cfr. pos. E-6., pag. 40). Per quanto attiene ai pannelli di rivestimento delle pareti della sale operatorie, la pos. E-6.2.2. stabiliva che: I pannelli di rivestimento devono essere preformati a guscio semplice con bordo smussato, risvoltati sui quattro lati del perimetro. Il materiale di rivestimento deve essere acciaio nichel-cromo, con spessore almeno pari a 8/10 mm applicato su lastra di cartongesso di irrigidimento di spessore non inferiore a 15 mm. […] Tale disposizione sembra imporre in maniera vincolante l'utilizzo dell'acciaio nichel-cromo quale materiale di rivestimento. Ciò appare tuttavia poco compatibile con la possibilità concessa ai concorrenti di proporre un'opzione facoltativa sui materiali di rivestimento (cfr. pos. E-2.4.3. lett. c, supra consid. A). Opzione facoltativa che essi potevano proporre esponendo il relativo prezzo, senza ulteriori precisazioni, in uno spazio del modulo di offerta (allegato 8, pag. 9) accanto al codice E-2.4.3.c e alla voce Materiali di rivestimento sale operatorie . I prezzi delle opzioni alternative non andavano a sommarsi al totale dell'offerta.</w:t>
      </w:r>
    </w:p>
    <w:p>
      <w:r>
        <w:rPr>
          <w:b/>
        </w:rPr>
        <w:t>E. 4.2</w:t>
      </w:r>
    </w:p>
    <w:p>
      <w:r>
        <w:t>La questione di sapere se il committente poteva prendere in considerazione materiali diversi dall'acciaio nichel-cromo può rimanere irrisolta, visto che la decisione non può comunque essere tutelata per i motivi che seguono.</w:t>
      </w:r>
    </w:p>
    <w:p>
      <w:r>
        <w:rPr>
          <w:b/>
        </w:rPr>
        <w:t>E. 4.2.1</w:t>
      </w:r>
    </w:p>
    <w:p>
      <w:r>
        <w:t>Come emerge dagli atti, il Consorzio aggiudicatario ha effettivamente previsto nella propria offerta la fornitura di pareti prefabbricate con rivestimento in acciaio inox. Tale materiale è infatti indicato nel questionario tecnico allegato al modulo d'offerta (5b). Nella sua relazione tecnica illustrativa, esso ha indicato che il rivestimento della sala operatoria verrà eseguito utilizzando pannelli di tamponamento realizzati in acciaio inox AISI 304 o in alternativa con pannelli autoportanti da 12 mm di spessore in Corian Dupont ®, materiale che eccelle in termini di lavorabilità sanificabilità e durevolezza nel tempo, (opzione facoltativa). Ciò è poi stato ulteriormente confermato dallo stesso Consorzio CV 1, che in risposta ad una domanda del committente ha specificato che nell'offerta sono state proposte pareti di rivestimento in acciaio INOX verniciato, come opzione facoltativa sono state proposte pareti con finitura in Corian 12 mm Dow Dupont. Nell'offerta, in relazione alla predetta opzione facoltativa, l'aggiudicatario ha quindi esposto un prezzo di fr. 20'559.61 per sala.</w:t>
      </w:r>
    </w:p>
    <w:p>
      <w:r>
        <w:rPr>
          <w:b/>
        </w:rPr>
        <w:t>E. 4.2.2</w:t>
      </w:r>
    </w:p>
    <w:p>
      <w:r>
        <w:t>Ora, dal rapporto di valutazione allestito dal committente risulta che ai fini dell'assegnazione del punteggio è stato preso in considerazione unicamente il rivestimento in materiale Corian. La stazione appaltante ha infatti inserito i dati tecnici forniti dall'uno e dall'altro consorzio concorrente in una tabella comparativa, modificando tuttavia quelli dichiarati nell'offerta originale del Consorzio CV 1 in relazione alle tre voci riguardanti il rivestimento delle pareti. Queste informazioni fornite dal Consorzio CV 1 nel questionario tecnico, sono state così adattate dal committente: Unità di misura Requisiti minimi Questionario tecnico CV 1 Rapporto di valutazione tipologia del materiale di rivestimento e spessore Mm/10</w:t>
      </w:r>
    </w:p>
    <w:p>
      <w:r>
        <w:rPr>
          <w:b/>
        </w:rPr>
        <w:t>E. 8</w:t>
      </w:r>
    </w:p>
    <w:p>
      <w:r>
        <w:t>L'emanazione del presente giudizio rende superflua l'evasione della domanda cautelare volta alla concessione dell'effetto sospensivo al gravame.</w:t>
      </w:r>
    </w:p>
    <w:p>
      <w:r>
        <w:rPr>
          <w:b/>
        </w:rPr>
        <w:t>E. 9</w:t>
      </w:r>
    </w:p>
    <w:p>
      <w:r>
        <w:t>La tassa di giustizia è posta a carico delle parti proporzionalmente al reciproco grado di soccombenza (art. 47 cpv. 1 LPAmm). Per questi motivi, decide: 1.   Il ricorso è parzialmente accolto . §.   Di conseguenza la decisione del 20 settembre 2019 con cui l'Ente Ospedaliero Cantonale ha aggiudicato le prestazioni di progettazione esecutiva, fornitura, posa e messa in esercizio di sale operatorie prefabbricate interne al Consorzio CV 1 è annullata. 2.   La tassa di giustizia di fr. 7'500.- è posta a carico dell'insorgente, del Consorzio CV 1 e dell'Ente Ospedaliero Cantonale in ragione di fr. 2'500.- ciascuno. Al Consorzio ricorrente viene restituito l'anticipo spese versato in eccesso dai suoi membri. Le ripetibili sono compensate.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