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 vom 14. November 2018</w:t>
      </w:r>
    </w:p>
    <w:p>
      <w:r>
        <w:t>TI Tribunale d'appello, 2018-11-14, IT</w:t>
      </w:r>
    </w:p>
    <w:p>
      <w:r>
        <w:rPr>
          <w:b/>
        </w:rPr>
        <w:t xml:space="preserve">Quelle: </w:t>
      </w:r>
      <w:r>
        <w:t>https://mcp.opencaselaw.ch/entscheid/ti_gerichte_52.2019.3</w:t>
      </w:r>
    </w:p>
    <w:p>
      <w:r>
        <w:t>FR: TI_GERICHTE 52.2019.3 du 14 novembre 2018</w:t>
      </w:r>
    </w:p>
    <w:p>
      <w:r>
        <w:t>IT: TI_GERICHTE 52.2019.3 del 14 novembre 2018</w:t>
      </w:r>
    </w:p>
    <w:p>
      <w:pPr>
        <w:pStyle w:val="Heading2"/>
      </w:pPr>
      <w:r>
        <w:t>Regeste</w:t>
      </w:r>
    </w:p>
    <w:p>
      <w:r>
        <w:t>Licenza edilizia per l'edificazione di uno stabile plurifamiliare. Legittimazione ricorsuale associazione a tutela del territorio</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della ricorrente, che ha partecipato al procedimento davanti all'istanza inferiore, è particolarmente toccata dal giudizio impugnato che dichiara irricevibile la sua impugnativa ed ha quindi un interesse degno di protezione all'annullamento di quest'ultimo (art. 65 cpv. 1 della legge sulla procedura amministrativa del 24 settembre 2013; LPAmm; RL 165.100). Se l'insorgente fosse legittimata a ricorrere davanti al Consiglio di Stato, è invece questione di merito, che verrà esaminata in appresso. Con queste precisazioni, il ricorso, tempestivo (art. 68 cpv. 1 LPAmm), è dunque ricevibile in ordine.</w:t>
      </w:r>
    </w:p>
    <w:p>
      <w:r>
        <w:rPr>
          <w:b/>
        </w:rPr>
        <w:t>E. 1.2</w:t>
      </w:r>
    </w:p>
    <w:p>
      <w:r>
        <w:t>L'impugnativa può essere evasa sulla base degli atti, senza istruttoria (art. 25 cpv. 1 LPAmm). Neppure le parti, del resto, sollecitano l'assunzione di particolari prove.</w:t>
      </w:r>
    </w:p>
    <w:p>
      <w:r>
        <w:rPr>
          <w:b/>
        </w:rPr>
        <w:t>E. 2.1</w:t>
      </w:r>
    </w:p>
    <w:p>
      <w:r>
        <w:t>Giusta l'art. 21 cpv. 1 LE, contro le decisioni del Municipio è dato ricorso al Consiglio di Stato e, contro le decisioni di quest'ultimo, al Tribunale cantonale amministrativo. Sono legittimati a ricorrere, prosegue la norma (cpv. 2), l'istante, le persone che hanno fatto opposizione, il Dipartimento del territorio e, in seconda istanza, il Comune. Per l'art. 8 cpv. 1 seconda proposizione LE sono pure legittimate a far opposizione le organizzazioni costituite da almeno 10 anni cui compete, in base agli statuti, la salvaguardia dei beni tutelati dalla legge. In base all'art. 1 del decreto esecutivo del 22 febbraio 1995 che designa le organizzazioni legittimate a fare opposizione ai sensi dell'art. 8 LE, sono legittimate a ricorrere ( recte : a fare opposizione) le organizzazioni elencate in allegato. Secondo l'art. 3 cpv. 1 del medesimo decreto, le organizzazioni che adempiono le condizioni dell'art. 8 cpv. 1 LE sono iscritte, a richiesta, nell'elenco di quelle legittimate a ricorrere ( recte : a fare opposizione).</w:t>
      </w:r>
    </w:p>
    <w:p>
      <w:r>
        <w:rPr>
          <w:b/>
        </w:rPr>
        <w:t>E. 2.2</w:t>
      </w:r>
    </w:p>
    <w:p>
      <w:r>
        <w:t>In concreto, l'RI 1 non è menzionata nell'elenco delle organizzazioni legittimate a fare opposizione allegato al citato decreto del 22 febbraio 1995. Ciò non ostava tuttavia a ritenerla legittimata ad opporsi alla domanda di costruzione presentata dalla resistente e, successivamente, a ricorrere contro la licenza edilizia rilasciata dal Municipio. L'iscrizione nel citato elenco è infatti facoltativa e non ha, pertanto, carattere costitutivo (cfr. art. 3 cpv. 1 decreto esecutivo 22 febbraio 1995; Adelio Scolari , Commentario, II ed., Cadenazzo 1996, ad art. 21 LE n. 951; Marco Borghi/Guido Corti , Compendio di procedura amministrativa ticinese, Lugano 1997, ad art. 43 LPamm n. 7 con nota a piè di pagina n. 193). Determinante era dunque unicamente se la ricorrente andasse annoverata tra le organizzazioni (1) costituite da almeno 10 anni e (2) alle quali compete, in base agli statuti, la salvaguardia dei beni tutelati dalla legge. Ora, il primo requisito era/è senz'altro adempiuto. L'insorgente è infatti un'associazione costituita nel 1989 giusta gli art. 60 segg. del Codice civile svizzero del 10 dicembre 1907 (CC; RS 210).  Anche il secondo requisito andava/va ammesso. Nelle organizzazioni cui compete, in base agli statuti, la salvaguardia dei beni tutelati dalla legge rientrano in effetti, ad esempio, le associazioni cantonali per la salvaguardia della natura, delle bellezze naturali e del paesaggio, del territorio agricolo nonché le associazioni di quartiere e le associazioni per l'integrazione degli handicappati (cfr. Scolari , op. cit., ad art. 21 LE n. 950). Nel caso concreto, poi, l'art. 3 dello statuto prevede che l'associazione ha lo scopo di salvaguardare gli interessi comunitari degli abitanti del quartiere di Rivapiana (che comprende il territorio fra via Rinaldo Simen ed il lago fino ai confini con Muralto e Tenero-Contra; cfr. art. 2) e promuoverne lo sviluppo, facendosi interprete dei suoi bisogni nei confronti di enti pubblici e privati con particolare attenzione agli aspetti culturali, storici, economici, edificatori e di sicurezza, segnatamente per quanto concerne (a) la configurazione edilizia privata, (b) la configurazione delle strade, degli edifici e delle aree pubbliche, e (c) l'abbellimento del quartiere nello spirito della protezione della natura e dell'arricchimento delle bellezze naturali ed artistiche contro il degrado ambientale. Se ne deduce, al di là della formulazione, che potrebbe invero essere più chiara ed esplicita, che l'RI 1 si riserva pure la facoltà d'intervenire in ambito edilizio (mediante opposizione e, se del caso, ricorso) laddove ritenesse che un progetto, considerato - a torto o a ragione che sia - lesivo delle prescrizioni di diritto pubblico applicabili, possa pregiudicare gli interessi del quartiere e dei suoi abitanti, segnatamente sotto il profilo paesaggistico ed ambientale. La restrittiva interpretazione contraria del Governo, peraltro in contraddizione con (almeno) una sua altra decisione (ris. gov. dell'8 luglio 2015 n. 3041), non può dunque essere seguita. Essendo la legittimazione ricorsuale della ricorrente già data in base al diritto speciale (edilizio) cantonale (cfr. pure STA 52.2016.257/258 citata consid. 1.1), non era/è quindi necessario, contrariamente a quanto sembrano assumere l'Esecutivo cantonale e la resistente, esaminarla anche alla luce del diritto federale. Tantomeno, occorre(va) dimostrare che la totalità, o almeno la maggioranza, dei suoi membri fossero toccati in modo particolare dal permesso accordato (sul cd. ricorso corporativo di natura egoista: RDAT I-2001 n. 27 consid. 2.2; Borghi/Corti , op. cit., ad art. 43 LPamm n. 6). Ciò detto, il ricorso inoltrato dalla ricorrente in data 27 gennaio 2018 al Governo era ricevibile ed avrebbe quindi dovuto essere esaminato nel merito. Il gravame qui in esame va pertanto accolto. Va da sé, che l'accoglimento dell'impugnativa implica, come peraltro richiesto nelle sue conclusioni, l'annullamento integrale della decisione governativa impugnata (inclusa cioè la conferma della licenza come da variante, disposta ad evasione del ricorso presentato dai signori __________) ed il rinvio degli atti al Governo per una nuova decisione unica sulla licenza rilasciata dal Municipio in data 15 dicembre 2017, che tenga conto anche delle censure sollevate dall'insorgente e a torto non esaminate dall'istanza inferiore.</w:t>
      </w:r>
    </w:p>
    <w:p>
      <w:r>
        <w:rPr>
          <w:b/>
        </w:rPr>
        <w:t>E. 3.1</w:t>
      </w:r>
    </w:p>
    <w:p>
      <w:r>
        <w:t>Sulla scorta delle considerazioni che precedono, l'impugna-tiva va accolta, annullando integralmente il giudizio governativo impugnato e rinviando gli atti all'Esecutivo cantonale affinché emani una nuova decisione sui ricorsi - del 27 gennaio 2018 dell'RI 1 e del 31 gennaio 2018 di CO 1 e CO 2 - presentati contro la licenza edilizia del 15 dicembre 2017.</w:t>
      </w:r>
    </w:p>
    <w:p>
      <w:r>
        <w:rPr>
          <w:b/>
        </w:rPr>
        <w:t>E. 3.2</w:t>
      </w:r>
    </w:p>
    <w:p>
      <w:r>
        <w:t>Dato l'esito, la tassa di giustizia è posta a carico della resistente, secondo soccombenza (art. 47 cpv. 1 LPAmm). Non si assegnano ripetibili né alla ricorrente, non patrocinata, né ai signori __________, i quali si sono rimessi al giudizio del Tribunale (art. 49 cpv. 1 LPAmm). Per questi motivi, decide: 1.   Il ricorso è accolto. §.   Di conseguenza: 1.1.   la decisione del 14 novembre 2018 (n. 5371) del Consiglio di Stato è annullata; 1.2.   gli atti sono rinviati al Governo affinché proceda come indicato al consid. 3.1. 2.   La tassa di giustizia di fr. 1'500.- è posta a carico della CO 3 . Alla ricorrente viene restituita la somma di fr. 1'500.- versata quale anticipo delle presumibili spese processuali.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