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52.2019.286 vom 7. Mai 2019</w:t>
      </w:r>
    </w:p>
    <w:p>
      <w:r>
        <w:t>TI Tribunale d'appello, 2019-05-07, IT</w:t>
      </w:r>
    </w:p>
    <w:p>
      <w:r>
        <w:rPr>
          <w:b/>
        </w:rPr>
        <w:t xml:space="preserve">Quelle: </w:t>
      </w:r>
      <w:r>
        <w:t>https://mcp.opencaselaw.ch/entscheid/ti_gerichte_52.2019.286</w:t>
      </w:r>
    </w:p>
    <w:p>
      <w:r>
        <w:t>FR: TI_GERICHTE 52.2019.286 du 7 mai 2019</w:t>
      </w:r>
    </w:p>
    <w:p>
      <w:r>
        <w:t>IT: TI_GERICHTE 52.2019.286 del 7 maggio 2019</w:t>
      </w:r>
    </w:p>
    <w:p>
      <w:pPr>
        <w:pStyle w:val="Heading2"/>
      </w:pPr>
      <w:r>
        <w:t>Regeste</w:t>
      </w:r>
    </w:p>
    <w:p>
      <w:r>
        <w:t>Tassa di soggiorno - parità di trattamento e ammontare delle tariffe</w:t>
      </w:r>
    </w:p>
    <w:p>
      <w:pPr>
        <w:pStyle w:val="Heading2"/>
      </w:pPr>
      <w:r>
        <w:t>Erwägungen</w:t>
      </w:r>
    </w:p>
    <w:p>
      <w:r>
        <w:rPr>
          <w:b/>
        </w:rPr>
        <w:t>E. 5.1</w:t>
      </w:r>
    </w:p>
    <w:p>
      <w:r>
        <w:t>Visto quanto precede, il ricorso va respinto con conseguente conferma della decisione impugnata.</w:t>
      </w:r>
    </w:p>
    <w:p>
      <w:r>
        <w:rPr>
          <w:b/>
        </w:rPr>
        <w:t>E. 5.2</w:t>
      </w:r>
    </w:p>
    <w:p>
      <w:r>
        <w:t>Dato l'esito, la tassa di giustizia è posta a carico del ricorrente, in quanto soccombente (art. 47 cpv. 1 LPAmm). Benché patrocinato da un avvocato, all'CO 1 non possono essere assegnate ripetibili, come da esso richiesto, non essendone date le condizioni. Giova infatti rammentare che, tranne nei casi in cui è esplicitamente escluso dalla legge, il riconoscimento di una simile indennità a favore dell'autorità pubblica può entrare in linea di conto unicamente se quest'ultima si è trovata confrontata, nell'ambito della conduzione di un procedimento giudiziario, con un dispendio lavorativo al di fuori della norma, con la necessità di dover far capo all'assistenza di un legale a causa della complessità giuridica delle problematiche in gioco oppure poiché sprovvista di servizi sufficienti ad assicurare un'adeguata tutela degli interessi perseguiti dalla decisione impugnata (cfr. STA 52.2008.409 del 6 marzo 2009 consid. 4.1; Kaspar Plüss , in: Martin Bertschi/Marco Donatsch/Alain Griffel/Tobias Jaag/Regina Kiener/Kaspar Plüss [a cura di], Kommentar zum Verwaltungsrechtspflegegesetz des Kantons Zürich, 3a ed., Zurigo 2014, n. 51 ad § 17 con numerosi riferimenti). Nella prassi si ritiene che il fatto di compiere degli atti di causa in sede processuale rientri tra i compiti ordinari di cui un'autorità amministrativa deve sapersi fare carico autonomamente, adottando, se del caso, i dovuti accorgimenti organizzativi al proprio interno per potervi fare fronte; inoltre si considera che, di regola, nelle liti che la concernono l'autorità si trova a dover affrontare delle tematiche giuridiche sulle quali già dispone di conoscenze specialistiche ( Plüss , loc. cit.), per cui il privato che si vede co-stretto ad intraprendere la via ricorsuale per tutelare i propri diritti nei confronti dell'ente pubblico deve di massima poter contare sul fatto che in caso di soccombenza non gli deriveranno altri svantaggi sul piano finanziario oltre a quello di dover sopportare le spese di procedura da esso generate (si veda in questo sen-so: Thomas Merkli/Arthur Aeschlimann/Ruth Herzog , Kom-mentar zum Gesetz über die Verwaltungsrechtspflege im Kan-ton Bern, Berna 1997, n. 14 ad art. 104). Nel caso specifico, nonostante l'CO 1 sia sprovvisto di un proprio servizio giuridico, la presente vertenza non poneva delle questioni giuridiche particolarmente complesse che necessitavano a tutti i costi il sostegno di un legale per poter essere discusse. L'Ente oltretutto, in quanto autorità competente in materia di tasse di soggiorno, era sostanzialmente chiamato in sede ricorsuale a difendere il proprio operato limitandosi a giustificare le ragioni che lo avevano portato ad emettere la contestata fatturazione; compito questo che avrebbe potuto essere svolto senza troppe difficoltà e che non imponeva di ricorrere al patrocinio di un legale. Per questi motivi, decide: 1.   Il ricorso è respinto. 2.   La tassa di giustizia di fr. 800.-, già anticipata dal ricorrente, resta a suo carico. 3.   Contro la presente decisione è dato ricorso in materia di diritto pubblico al Tribunale federale a Losanna entro il termine di 30 giorni dalla sua notificazione (art. 82 segg. della legge sul Tribunale federale del 17 giugno 2005; LTF; RS 173.110). 4.   Intimazione a: Per il Tribunale cantonale amministrativo Il presidente                                                            La vicecancelliera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